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04A39" w14:textId="2787C29E" w:rsidR="009A5260" w:rsidRDefault="009A5260" w:rsidP="009A5260"/>
    <w:p w14:paraId="1D7C3132" w14:textId="77777777" w:rsidR="009A5260" w:rsidRDefault="009A5260" w:rsidP="00371C64"/>
    <w:p w14:paraId="5C62A80D" w14:textId="77777777" w:rsidR="00B80788" w:rsidRDefault="00B80788" w:rsidP="00371C64"/>
    <w:p w14:paraId="4FD5D0F7" w14:textId="77777777" w:rsidR="00B80788" w:rsidRDefault="00B80788" w:rsidP="00371C64"/>
    <w:p w14:paraId="58BE7031" w14:textId="77777777" w:rsidR="00B80788" w:rsidRDefault="00B80788" w:rsidP="00371C64"/>
    <w:p w14:paraId="1CE2E730" w14:textId="77777777" w:rsidR="00B80788" w:rsidRDefault="00B80788" w:rsidP="00371C64"/>
    <w:p w14:paraId="47CBD8AE" w14:textId="77777777" w:rsidR="00B80788" w:rsidRPr="000C1080" w:rsidRDefault="00B80788" w:rsidP="00371C64"/>
    <w:p w14:paraId="4077FF64" w14:textId="77777777" w:rsidR="009910F7" w:rsidRDefault="009910F7" w:rsidP="009910F7">
      <w:pPr>
        <w:jc w:val="center"/>
        <w:rPr>
          <w:b/>
          <w:sz w:val="40"/>
          <w:szCs w:val="40"/>
        </w:rPr>
      </w:pPr>
      <w:r w:rsidRPr="009910F7">
        <w:rPr>
          <w:b/>
          <w:sz w:val="40"/>
          <w:szCs w:val="40"/>
        </w:rPr>
        <w:t>R</w:t>
      </w:r>
      <w:r>
        <w:rPr>
          <w:b/>
          <w:sz w:val="40"/>
          <w:szCs w:val="40"/>
        </w:rPr>
        <w:t>ENEWING COMMUNITIES:</w:t>
      </w:r>
    </w:p>
    <w:p w14:paraId="0A26B28D" w14:textId="7C36AD32" w:rsidR="009910F7" w:rsidRPr="00B80788" w:rsidRDefault="009910F7" w:rsidP="00B80788">
      <w:pPr>
        <w:jc w:val="center"/>
        <w:rPr>
          <w:b/>
          <w:i/>
          <w:sz w:val="36"/>
          <w:szCs w:val="36"/>
        </w:rPr>
      </w:pPr>
      <w:r w:rsidRPr="009910F7">
        <w:rPr>
          <w:b/>
          <w:i/>
          <w:sz w:val="36"/>
          <w:szCs w:val="36"/>
        </w:rPr>
        <w:t>California Pathways from Prison to Postsecondary Education</w:t>
      </w:r>
    </w:p>
    <w:p w14:paraId="099C76D6" w14:textId="77777777" w:rsidR="009910F7" w:rsidRDefault="009910F7" w:rsidP="009910F7">
      <w:pPr>
        <w:jc w:val="center"/>
        <w:rPr>
          <w:b/>
          <w:sz w:val="26"/>
          <w:szCs w:val="26"/>
        </w:rPr>
      </w:pPr>
    </w:p>
    <w:p w14:paraId="36E9BFE6" w14:textId="589F59C3" w:rsidR="009910F7" w:rsidRDefault="009910F7" w:rsidP="00B80788">
      <w:pPr>
        <w:jc w:val="center"/>
        <w:rPr>
          <w:sz w:val="26"/>
          <w:szCs w:val="26"/>
        </w:rPr>
      </w:pPr>
      <w:r w:rsidRPr="00B80788">
        <w:rPr>
          <w:sz w:val="26"/>
          <w:szCs w:val="26"/>
        </w:rPr>
        <w:t xml:space="preserve">RFP Issue Date: November </w:t>
      </w:r>
      <w:r w:rsidR="00125225" w:rsidRPr="00B80788">
        <w:rPr>
          <w:sz w:val="26"/>
          <w:szCs w:val="26"/>
        </w:rPr>
        <w:t>9,</w:t>
      </w:r>
      <w:r w:rsidRPr="00B80788">
        <w:rPr>
          <w:sz w:val="26"/>
          <w:szCs w:val="26"/>
        </w:rPr>
        <w:t xml:space="preserve"> 2015</w:t>
      </w:r>
    </w:p>
    <w:p w14:paraId="1E41DC4D" w14:textId="5FAD3297" w:rsidR="00F9035E" w:rsidRPr="00B80788" w:rsidRDefault="00F9035E" w:rsidP="00B80788">
      <w:pPr>
        <w:jc w:val="center"/>
        <w:rPr>
          <w:sz w:val="26"/>
          <w:szCs w:val="26"/>
        </w:rPr>
      </w:pPr>
      <w:r>
        <w:rPr>
          <w:sz w:val="26"/>
          <w:szCs w:val="26"/>
        </w:rPr>
        <w:t>Notice of Intent to Apply: January 11, 2016</w:t>
      </w:r>
    </w:p>
    <w:p w14:paraId="2FF96E17" w14:textId="74437EC1" w:rsidR="00810836" w:rsidRPr="00B80788" w:rsidRDefault="009910F7" w:rsidP="00B80788">
      <w:pPr>
        <w:jc w:val="center"/>
        <w:rPr>
          <w:sz w:val="26"/>
          <w:szCs w:val="26"/>
        </w:rPr>
      </w:pPr>
      <w:r w:rsidRPr="00B80788">
        <w:rPr>
          <w:sz w:val="26"/>
          <w:szCs w:val="26"/>
        </w:rPr>
        <w:t>RFP Due Date: February 1, 2016 at 5:00 pm</w:t>
      </w:r>
    </w:p>
    <w:p w14:paraId="0F01438C" w14:textId="127AA2AD" w:rsidR="00241913" w:rsidRDefault="00810836" w:rsidP="009910F7">
      <w:pPr>
        <w:jc w:val="center"/>
        <w:rPr>
          <w:b/>
          <w:sz w:val="26"/>
          <w:szCs w:val="26"/>
        </w:rPr>
      </w:pPr>
      <w:bookmarkStart w:id="0" w:name="_GoBack"/>
      <w:r w:rsidRPr="00B80788">
        <w:rPr>
          <w:sz w:val="26"/>
          <w:szCs w:val="26"/>
        </w:rPr>
        <w:t xml:space="preserve">Submit </w:t>
      </w:r>
      <w:r w:rsidR="00F9035E">
        <w:rPr>
          <w:sz w:val="26"/>
          <w:szCs w:val="26"/>
        </w:rPr>
        <w:t xml:space="preserve">notice of intent to apply and </w:t>
      </w:r>
      <w:r w:rsidR="00087CE5" w:rsidRPr="00B80788">
        <w:rPr>
          <w:sz w:val="26"/>
          <w:szCs w:val="26"/>
        </w:rPr>
        <w:t>proposals to: l</w:t>
      </w:r>
      <w:r w:rsidRPr="00B80788">
        <w:rPr>
          <w:sz w:val="26"/>
          <w:szCs w:val="26"/>
        </w:rPr>
        <w:t>aura@theopportunityinstitute.org</w:t>
      </w:r>
      <w:r w:rsidR="00241913">
        <w:rPr>
          <w:b/>
          <w:sz w:val="26"/>
          <w:szCs w:val="26"/>
        </w:rPr>
        <w:br w:type="page"/>
      </w:r>
    </w:p>
    <w:bookmarkEnd w:id="0" w:displacedByCustomXml="next"/>
    <w:sdt>
      <w:sdtPr>
        <w:rPr>
          <w:rFonts w:asciiTheme="minorHAnsi" w:eastAsiaTheme="minorHAnsi" w:hAnsiTheme="minorHAnsi" w:cstheme="minorBidi"/>
          <w:b w:val="0"/>
          <w:bCs w:val="0"/>
          <w:color w:val="auto"/>
          <w:sz w:val="22"/>
          <w:szCs w:val="22"/>
        </w:rPr>
        <w:id w:val="-756277728"/>
        <w:docPartObj>
          <w:docPartGallery w:val="Table of Contents"/>
          <w:docPartUnique/>
        </w:docPartObj>
      </w:sdtPr>
      <w:sdtEndPr>
        <w:rPr>
          <w:noProof/>
          <w:color w:val="050A0C"/>
        </w:rPr>
      </w:sdtEndPr>
      <w:sdtContent>
        <w:p w14:paraId="3E890782" w14:textId="77777777" w:rsidR="00B90ABF" w:rsidRDefault="00B90ABF">
          <w:pPr>
            <w:pStyle w:val="TOCHeading"/>
          </w:pPr>
          <w:r>
            <w:t>Table of Contents</w:t>
          </w:r>
        </w:p>
        <w:p w14:paraId="0509CD96" w14:textId="77777777" w:rsidR="006C4995" w:rsidRDefault="00125225">
          <w:pPr>
            <w:pStyle w:val="TOC1"/>
            <w:tabs>
              <w:tab w:val="right" w:leader="dot" w:pos="9350"/>
            </w:tabs>
            <w:rPr>
              <w:rFonts w:eastAsiaTheme="minorEastAsia"/>
              <w:b w:val="0"/>
              <w:noProof/>
              <w:color w:val="auto"/>
              <w:sz w:val="22"/>
              <w:szCs w:val="22"/>
            </w:rPr>
          </w:pPr>
          <w:r>
            <w:rPr>
              <w:b w:val="0"/>
            </w:rPr>
            <w:fldChar w:fldCharType="begin"/>
          </w:r>
          <w:r w:rsidR="00B90ABF">
            <w:instrText xml:space="preserve"> TOC \o "1-3" \h \z \u </w:instrText>
          </w:r>
          <w:r>
            <w:rPr>
              <w:b w:val="0"/>
            </w:rPr>
            <w:fldChar w:fldCharType="separate"/>
          </w:r>
          <w:hyperlink w:anchor="_Toc434571634" w:history="1">
            <w:r w:rsidR="006C4995" w:rsidRPr="00F24241">
              <w:rPr>
                <w:rStyle w:val="Hyperlink"/>
                <w:noProof/>
              </w:rPr>
              <w:t>I. Overview</w:t>
            </w:r>
            <w:r w:rsidR="006C4995">
              <w:rPr>
                <w:noProof/>
                <w:webHidden/>
              </w:rPr>
              <w:tab/>
            </w:r>
            <w:r w:rsidR="006C4995">
              <w:rPr>
                <w:noProof/>
                <w:webHidden/>
              </w:rPr>
              <w:fldChar w:fldCharType="begin"/>
            </w:r>
            <w:r w:rsidR="006C4995">
              <w:rPr>
                <w:noProof/>
                <w:webHidden/>
              </w:rPr>
              <w:instrText xml:space="preserve"> PAGEREF _Toc434571634 \h </w:instrText>
            </w:r>
            <w:r w:rsidR="006C4995">
              <w:rPr>
                <w:noProof/>
                <w:webHidden/>
              </w:rPr>
            </w:r>
            <w:r w:rsidR="006C4995">
              <w:rPr>
                <w:noProof/>
                <w:webHidden/>
              </w:rPr>
              <w:fldChar w:fldCharType="separate"/>
            </w:r>
            <w:r w:rsidR="003C5A76">
              <w:rPr>
                <w:noProof/>
                <w:webHidden/>
              </w:rPr>
              <w:t>3</w:t>
            </w:r>
            <w:r w:rsidR="006C4995">
              <w:rPr>
                <w:noProof/>
                <w:webHidden/>
              </w:rPr>
              <w:fldChar w:fldCharType="end"/>
            </w:r>
          </w:hyperlink>
        </w:p>
        <w:p w14:paraId="64209908" w14:textId="77777777" w:rsidR="006C4995" w:rsidRDefault="00F153AB">
          <w:pPr>
            <w:pStyle w:val="TOC2"/>
            <w:tabs>
              <w:tab w:val="right" w:leader="dot" w:pos="9350"/>
            </w:tabs>
            <w:rPr>
              <w:rFonts w:eastAsiaTheme="minorEastAsia"/>
              <w:b w:val="0"/>
              <w:noProof/>
              <w:color w:val="auto"/>
            </w:rPr>
          </w:pPr>
          <w:hyperlink w:anchor="_Toc434571635" w:history="1">
            <w:r w:rsidR="006C4995" w:rsidRPr="00F24241">
              <w:rPr>
                <w:rStyle w:val="Hyperlink"/>
                <w:noProof/>
              </w:rPr>
              <w:t>Eligibility</w:t>
            </w:r>
            <w:r w:rsidR="006C4995">
              <w:rPr>
                <w:noProof/>
                <w:webHidden/>
              </w:rPr>
              <w:tab/>
            </w:r>
            <w:r w:rsidR="006C4995">
              <w:rPr>
                <w:noProof/>
                <w:webHidden/>
              </w:rPr>
              <w:fldChar w:fldCharType="begin"/>
            </w:r>
            <w:r w:rsidR="006C4995">
              <w:rPr>
                <w:noProof/>
                <w:webHidden/>
              </w:rPr>
              <w:instrText xml:space="preserve"> PAGEREF _Toc434571635 \h </w:instrText>
            </w:r>
            <w:r w:rsidR="006C4995">
              <w:rPr>
                <w:noProof/>
                <w:webHidden/>
              </w:rPr>
            </w:r>
            <w:r w:rsidR="006C4995">
              <w:rPr>
                <w:noProof/>
                <w:webHidden/>
              </w:rPr>
              <w:fldChar w:fldCharType="separate"/>
            </w:r>
            <w:r w:rsidR="003C5A76">
              <w:rPr>
                <w:noProof/>
                <w:webHidden/>
              </w:rPr>
              <w:t>3</w:t>
            </w:r>
            <w:r w:rsidR="006C4995">
              <w:rPr>
                <w:noProof/>
                <w:webHidden/>
              </w:rPr>
              <w:fldChar w:fldCharType="end"/>
            </w:r>
          </w:hyperlink>
        </w:p>
        <w:p w14:paraId="519BA1D2" w14:textId="77777777" w:rsidR="006C4995" w:rsidRDefault="00F153AB">
          <w:pPr>
            <w:pStyle w:val="TOC1"/>
            <w:tabs>
              <w:tab w:val="right" w:leader="dot" w:pos="9350"/>
            </w:tabs>
            <w:rPr>
              <w:rFonts w:eastAsiaTheme="minorEastAsia"/>
              <w:b w:val="0"/>
              <w:noProof/>
              <w:color w:val="auto"/>
              <w:sz w:val="22"/>
              <w:szCs w:val="22"/>
            </w:rPr>
          </w:pPr>
          <w:hyperlink w:anchor="_Toc434571636" w:history="1">
            <w:r w:rsidR="006C4995" w:rsidRPr="00F24241">
              <w:rPr>
                <w:rStyle w:val="Hyperlink"/>
                <w:noProof/>
              </w:rPr>
              <w:t>II. Background on the Renewing Communities Initiative</w:t>
            </w:r>
            <w:r w:rsidR="006C4995">
              <w:rPr>
                <w:noProof/>
                <w:webHidden/>
              </w:rPr>
              <w:tab/>
            </w:r>
            <w:r w:rsidR="006C4995">
              <w:rPr>
                <w:noProof/>
                <w:webHidden/>
              </w:rPr>
              <w:fldChar w:fldCharType="begin"/>
            </w:r>
            <w:r w:rsidR="006C4995">
              <w:rPr>
                <w:noProof/>
                <w:webHidden/>
              </w:rPr>
              <w:instrText xml:space="preserve"> PAGEREF _Toc434571636 \h </w:instrText>
            </w:r>
            <w:r w:rsidR="006C4995">
              <w:rPr>
                <w:noProof/>
                <w:webHidden/>
              </w:rPr>
            </w:r>
            <w:r w:rsidR="006C4995">
              <w:rPr>
                <w:noProof/>
                <w:webHidden/>
              </w:rPr>
              <w:fldChar w:fldCharType="separate"/>
            </w:r>
            <w:r w:rsidR="003C5A76">
              <w:rPr>
                <w:noProof/>
                <w:webHidden/>
              </w:rPr>
              <w:t>5</w:t>
            </w:r>
            <w:r w:rsidR="006C4995">
              <w:rPr>
                <w:noProof/>
                <w:webHidden/>
              </w:rPr>
              <w:fldChar w:fldCharType="end"/>
            </w:r>
          </w:hyperlink>
        </w:p>
        <w:p w14:paraId="5A9BCDEE" w14:textId="77777777" w:rsidR="006C4995" w:rsidRDefault="00F153AB">
          <w:pPr>
            <w:pStyle w:val="TOC1"/>
            <w:tabs>
              <w:tab w:val="right" w:leader="dot" w:pos="9350"/>
            </w:tabs>
            <w:rPr>
              <w:rFonts w:eastAsiaTheme="minorEastAsia"/>
              <w:b w:val="0"/>
              <w:noProof/>
              <w:color w:val="auto"/>
              <w:sz w:val="22"/>
              <w:szCs w:val="22"/>
            </w:rPr>
          </w:pPr>
          <w:hyperlink w:anchor="_Toc434571637" w:history="1">
            <w:r w:rsidR="006C4995" w:rsidRPr="00F24241">
              <w:rPr>
                <w:rStyle w:val="Hyperlink"/>
                <w:noProof/>
              </w:rPr>
              <w:t>III. Project Scope and Requirements</w:t>
            </w:r>
            <w:r w:rsidR="006C4995">
              <w:rPr>
                <w:noProof/>
                <w:webHidden/>
              </w:rPr>
              <w:tab/>
            </w:r>
            <w:r w:rsidR="006C4995">
              <w:rPr>
                <w:noProof/>
                <w:webHidden/>
              </w:rPr>
              <w:fldChar w:fldCharType="begin"/>
            </w:r>
            <w:r w:rsidR="006C4995">
              <w:rPr>
                <w:noProof/>
                <w:webHidden/>
              </w:rPr>
              <w:instrText xml:space="preserve"> PAGEREF _Toc434571637 \h </w:instrText>
            </w:r>
            <w:r w:rsidR="006C4995">
              <w:rPr>
                <w:noProof/>
                <w:webHidden/>
              </w:rPr>
            </w:r>
            <w:r w:rsidR="006C4995">
              <w:rPr>
                <w:noProof/>
                <w:webHidden/>
              </w:rPr>
              <w:fldChar w:fldCharType="separate"/>
            </w:r>
            <w:r w:rsidR="003C5A76">
              <w:rPr>
                <w:noProof/>
                <w:webHidden/>
              </w:rPr>
              <w:t>6</w:t>
            </w:r>
            <w:r w:rsidR="006C4995">
              <w:rPr>
                <w:noProof/>
                <w:webHidden/>
              </w:rPr>
              <w:fldChar w:fldCharType="end"/>
            </w:r>
          </w:hyperlink>
        </w:p>
        <w:p w14:paraId="2637F8BB" w14:textId="77777777" w:rsidR="006C4995" w:rsidRDefault="00F153AB">
          <w:pPr>
            <w:pStyle w:val="TOC1"/>
            <w:tabs>
              <w:tab w:val="right" w:leader="dot" w:pos="9350"/>
            </w:tabs>
            <w:rPr>
              <w:rFonts w:eastAsiaTheme="minorEastAsia"/>
              <w:b w:val="0"/>
              <w:noProof/>
              <w:color w:val="auto"/>
              <w:sz w:val="22"/>
              <w:szCs w:val="22"/>
            </w:rPr>
          </w:pPr>
          <w:hyperlink w:anchor="_Toc434571638" w:history="1">
            <w:r w:rsidR="006C4995" w:rsidRPr="00F24241">
              <w:rPr>
                <w:rStyle w:val="Hyperlink"/>
                <w:noProof/>
              </w:rPr>
              <w:t>IV. Initiative Funding</w:t>
            </w:r>
            <w:r w:rsidR="006C4995">
              <w:rPr>
                <w:noProof/>
                <w:webHidden/>
              </w:rPr>
              <w:tab/>
            </w:r>
            <w:r w:rsidR="006C4995">
              <w:rPr>
                <w:noProof/>
                <w:webHidden/>
              </w:rPr>
              <w:fldChar w:fldCharType="begin"/>
            </w:r>
            <w:r w:rsidR="006C4995">
              <w:rPr>
                <w:noProof/>
                <w:webHidden/>
              </w:rPr>
              <w:instrText xml:space="preserve"> PAGEREF _Toc434571638 \h </w:instrText>
            </w:r>
            <w:r w:rsidR="006C4995">
              <w:rPr>
                <w:noProof/>
                <w:webHidden/>
              </w:rPr>
            </w:r>
            <w:r w:rsidR="006C4995">
              <w:rPr>
                <w:noProof/>
                <w:webHidden/>
              </w:rPr>
              <w:fldChar w:fldCharType="separate"/>
            </w:r>
            <w:r w:rsidR="003C5A76">
              <w:rPr>
                <w:noProof/>
                <w:webHidden/>
              </w:rPr>
              <w:t>11</w:t>
            </w:r>
            <w:r w:rsidR="006C4995">
              <w:rPr>
                <w:noProof/>
                <w:webHidden/>
              </w:rPr>
              <w:fldChar w:fldCharType="end"/>
            </w:r>
          </w:hyperlink>
        </w:p>
        <w:p w14:paraId="4C4DEC88" w14:textId="77777777" w:rsidR="006C4995" w:rsidRDefault="00F153AB">
          <w:pPr>
            <w:pStyle w:val="TOC1"/>
            <w:tabs>
              <w:tab w:val="right" w:leader="dot" w:pos="9350"/>
            </w:tabs>
            <w:rPr>
              <w:rFonts w:eastAsiaTheme="minorEastAsia"/>
              <w:b w:val="0"/>
              <w:noProof/>
              <w:color w:val="auto"/>
              <w:sz w:val="22"/>
              <w:szCs w:val="22"/>
            </w:rPr>
          </w:pPr>
          <w:hyperlink w:anchor="_Toc434571639" w:history="1">
            <w:r w:rsidR="006C4995" w:rsidRPr="00F24241">
              <w:rPr>
                <w:rStyle w:val="Hyperlink"/>
                <w:noProof/>
              </w:rPr>
              <w:t>V. Application Requirements</w:t>
            </w:r>
            <w:r w:rsidR="006C4995">
              <w:rPr>
                <w:noProof/>
                <w:webHidden/>
              </w:rPr>
              <w:tab/>
            </w:r>
            <w:r w:rsidR="006C4995">
              <w:rPr>
                <w:noProof/>
                <w:webHidden/>
              </w:rPr>
              <w:fldChar w:fldCharType="begin"/>
            </w:r>
            <w:r w:rsidR="006C4995">
              <w:rPr>
                <w:noProof/>
                <w:webHidden/>
              </w:rPr>
              <w:instrText xml:space="preserve"> PAGEREF _Toc434571639 \h </w:instrText>
            </w:r>
            <w:r w:rsidR="006C4995">
              <w:rPr>
                <w:noProof/>
                <w:webHidden/>
              </w:rPr>
            </w:r>
            <w:r w:rsidR="006C4995">
              <w:rPr>
                <w:noProof/>
                <w:webHidden/>
              </w:rPr>
              <w:fldChar w:fldCharType="separate"/>
            </w:r>
            <w:r w:rsidR="003C5A76">
              <w:rPr>
                <w:noProof/>
                <w:webHidden/>
              </w:rPr>
              <w:t>12</w:t>
            </w:r>
            <w:r w:rsidR="006C4995">
              <w:rPr>
                <w:noProof/>
                <w:webHidden/>
              </w:rPr>
              <w:fldChar w:fldCharType="end"/>
            </w:r>
          </w:hyperlink>
        </w:p>
        <w:p w14:paraId="64780C00" w14:textId="77777777" w:rsidR="006C4995" w:rsidRDefault="00F153AB">
          <w:pPr>
            <w:pStyle w:val="TOC2"/>
            <w:tabs>
              <w:tab w:val="right" w:leader="dot" w:pos="9350"/>
            </w:tabs>
            <w:rPr>
              <w:rFonts w:eastAsiaTheme="minorEastAsia"/>
              <w:b w:val="0"/>
              <w:noProof/>
              <w:color w:val="auto"/>
            </w:rPr>
          </w:pPr>
          <w:hyperlink w:anchor="_Toc434571640" w:history="1">
            <w:r w:rsidR="006C4995" w:rsidRPr="00F24241">
              <w:rPr>
                <w:rStyle w:val="Hyperlink"/>
                <w:noProof/>
              </w:rPr>
              <w:t>Cover Page</w:t>
            </w:r>
            <w:r w:rsidR="006C4995">
              <w:rPr>
                <w:noProof/>
                <w:webHidden/>
              </w:rPr>
              <w:tab/>
            </w:r>
            <w:r w:rsidR="006C4995">
              <w:rPr>
                <w:noProof/>
                <w:webHidden/>
              </w:rPr>
              <w:fldChar w:fldCharType="begin"/>
            </w:r>
            <w:r w:rsidR="006C4995">
              <w:rPr>
                <w:noProof/>
                <w:webHidden/>
              </w:rPr>
              <w:instrText xml:space="preserve"> PAGEREF _Toc434571640 \h </w:instrText>
            </w:r>
            <w:r w:rsidR="006C4995">
              <w:rPr>
                <w:noProof/>
                <w:webHidden/>
              </w:rPr>
            </w:r>
            <w:r w:rsidR="006C4995">
              <w:rPr>
                <w:noProof/>
                <w:webHidden/>
              </w:rPr>
              <w:fldChar w:fldCharType="separate"/>
            </w:r>
            <w:r w:rsidR="003C5A76">
              <w:rPr>
                <w:noProof/>
                <w:webHidden/>
              </w:rPr>
              <w:t>12</w:t>
            </w:r>
            <w:r w:rsidR="006C4995">
              <w:rPr>
                <w:noProof/>
                <w:webHidden/>
              </w:rPr>
              <w:fldChar w:fldCharType="end"/>
            </w:r>
          </w:hyperlink>
        </w:p>
        <w:p w14:paraId="6C7139BC" w14:textId="77777777" w:rsidR="006C4995" w:rsidRDefault="00F153AB">
          <w:pPr>
            <w:pStyle w:val="TOC2"/>
            <w:tabs>
              <w:tab w:val="right" w:leader="dot" w:pos="9350"/>
            </w:tabs>
            <w:rPr>
              <w:rFonts w:eastAsiaTheme="minorEastAsia"/>
              <w:b w:val="0"/>
              <w:noProof/>
              <w:color w:val="auto"/>
            </w:rPr>
          </w:pPr>
          <w:hyperlink w:anchor="_Toc434571641" w:history="1">
            <w:r w:rsidR="006C4995" w:rsidRPr="00F24241">
              <w:rPr>
                <w:rStyle w:val="Hyperlink"/>
                <w:noProof/>
              </w:rPr>
              <w:t>Proposal Narrative</w:t>
            </w:r>
            <w:r w:rsidR="006C4995">
              <w:rPr>
                <w:noProof/>
                <w:webHidden/>
              </w:rPr>
              <w:tab/>
            </w:r>
            <w:r w:rsidR="006C4995">
              <w:rPr>
                <w:noProof/>
                <w:webHidden/>
              </w:rPr>
              <w:fldChar w:fldCharType="begin"/>
            </w:r>
            <w:r w:rsidR="006C4995">
              <w:rPr>
                <w:noProof/>
                <w:webHidden/>
              </w:rPr>
              <w:instrText xml:space="preserve"> PAGEREF _Toc434571641 \h </w:instrText>
            </w:r>
            <w:r w:rsidR="006C4995">
              <w:rPr>
                <w:noProof/>
                <w:webHidden/>
              </w:rPr>
            </w:r>
            <w:r w:rsidR="006C4995">
              <w:rPr>
                <w:noProof/>
                <w:webHidden/>
              </w:rPr>
              <w:fldChar w:fldCharType="separate"/>
            </w:r>
            <w:r w:rsidR="003C5A76">
              <w:rPr>
                <w:noProof/>
                <w:webHidden/>
              </w:rPr>
              <w:t>12</w:t>
            </w:r>
            <w:r w:rsidR="006C4995">
              <w:rPr>
                <w:noProof/>
                <w:webHidden/>
              </w:rPr>
              <w:fldChar w:fldCharType="end"/>
            </w:r>
          </w:hyperlink>
        </w:p>
        <w:p w14:paraId="4EC0C40D" w14:textId="77777777" w:rsidR="006C4995" w:rsidRDefault="00F153AB">
          <w:pPr>
            <w:pStyle w:val="TOC2"/>
            <w:tabs>
              <w:tab w:val="right" w:leader="dot" w:pos="9350"/>
            </w:tabs>
            <w:rPr>
              <w:rFonts w:eastAsiaTheme="minorEastAsia"/>
              <w:b w:val="0"/>
              <w:noProof/>
              <w:color w:val="auto"/>
            </w:rPr>
          </w:pPr>
          <w:hyperlink w:anchor="_Toc434571642" w:history="1">
            <w:r w:rsidR="006C4995" w:rsidRPr="00F24241">
              <w:rPr>
                <w:rStyle w:val="Hyperlink"/>
                <w:noProof/>
              </w:rPr>
              <w:t>Budget and Budget Narrative</w:t>
            </w:r>
            <w:r w:rsidR="006C4995">
              <w:rPr>
                <w:noProof/>
                <w:webHidden/>
              </w:rPr>
              <w:tab/>
            </w:r>
            <w:r w:rsidR="006C4995">
              <w:rPr>
                <w:noProof/>
                <w:webHidden/>
              </w:rPr>
              <w:fldChar w:fldCharType="begin"/>
            </w:r>
            <w:r w:rsidR="006C4995">
              <w:rPr>
                <w:noProof/>
                <w:webHidden/>
              </w:rPr>
              <w:instrText xml:space="preserve"> PAGEREF _Toc434571642 \h </w:instrText>
            </w:r>
            <w:r w:rsidR="006C4995">
              <w:rPr>
                <w:noProof/>
                <w:webHidden/>
              </w:rPr>
            </w:r>
            <w:r w:rsidR="006C4995">
              <w:rPr>
                <w:noProof/>
                <w:webHidden/>
              </w:rPr>
              <w:fldChar w:fldCharType="separate"/>
            </w:r>
            <w:r w:rsidR="003C5A76">
              <w:rPr>
                <w:noProof/>
                <w:webHidden/>
              </w:rPr>
              <w:t>13</w:t>
            </w:r>
            <w:r w:rsidR="006C4995">
              <w:rPr>
                <w:noProof/>
                <w:webHidden/>
              </w:rPr>
              <w:fldChar w:fldCharType="end"/>
            </w:r>
          </w:hyperlink>
        </w:p>
        <w:p w14:paraId="542E0FFF" w14:textId="77777777" w:rsidR="006C4995" w:rsidRDefault="00F153AB">
          <w:pPr>
            <w:pStyle w:val="TOC2"/>
            <w:tabs>
              <w:tab w:val="right" w:leader="dot" w:pos="9350"/>
            </w:tabs>
            <w:rPr>
              <w:rFonts w:eastAsiaTheme="minorEastAsia"/>
              <w:b w:val="0"/>
              <w:noProof/>
              <w:color w:val="auto"/>
            </w:rPr>
          </w:pPr>
          <w:hyperlink w:anchor="_Toc434571643" w:history="1">
            <w:r w:rsidR="006C4995" w:rsidRPr="00F24241">
              <w:rPr>
                <w:rStyle w:val="Hyperlink"/>
                <w:noProof/>
              </w:rPr>
              <w:t>Proposal Attachments</w:t>
            </w:r>
            <w:r w:rsidR="006C4995">
              <w:rPr>
                <w:noProof/>
                <w:webHidden/>
              </w:rPr>
              <w:tab/>
            </w:r>
            <w:r w:rsidR="006C4995">
              <w:rPr>
                <w:noProof/>
                <w:webHidden/>
              </w:rPr>
              <w:fldChar w:fldCharType="begin"/>
            </w:r>
            <w:r w:rsidR="006C4995">
              <w:rPr>
                <w:noProof/>
                <w:webHidden/>
              </w:rPr>
              <w:instrText xml:space="preserve"> PAGEREF _Toc434571643 \h </w:instrText>
            </w:r>
            <w:r w:rsidR="006C4995">
              <w:rPr>
                <w:noProof/>
                <w:webHidden/>
              </w:rPr>
            </w:r>
            <w:r w:rsidR="006C4995">
              <w:rPr>
                <w:noProof/>
                <w:webHidden/>
              </w:rPr>
              <w:fldChar w:fldCharType="separate"/>
            </w:r>
            <w:r w:rsidR="003C5A76">
              <w:rPr>
                <w:noProof/>
                <w:webHidden/>
              </w:rPr>
              <w:t>14</w:t>
            </w:r>
            <w:r w:rsidR="006C4995">
              <w:rPr>
                <w:noProof/>
                <w:webHidden/>
              </w:rPr>
              <w:fldChar w:fldCharType="end"/>
            </w:r>
          </w:hyperlink>
        </w:p>
        <w:p w14:paraId="06288B59" w14:textId="77777777" w:rsidR="006C4995" w:rsidRDefault="00F153AB">
          <w:pPr>
            <w:pStyle w:val="TOC3"/>
            <w:tabs>
              <w:tab w:val="right" w:leader="dot" w:pos="9350"/>
            </w:tabs>
            <w:rPr>
              <w:rFonts w:eastAsiaTheme="minorEastAsia"/>
              <w:noProof/>
              <w:color w:val="auto"/>
            </w:rPr>
          </w:pPr>
          <w:hyperlink w:anchor="_Toc434571644" w:history="1">
            <w:r w:rsidR="006C4995" w:rsidRPr="00F24241">
              <w:rPr>
                <w:rStyle w:val="Hyperlink"/>
                <w:noProof/>
              </w:rPr>
              <w:t>Statements from Partners</w:t>
            </w:r>
            <w:r w:rsidR="006C4995">
              <w:rPr>
                <w:noProof/>
                <w:webHidden/>
              </w:rPr>
              <w:tab/>
            </w:r>
            <w:r w:rsidR="006C4995">
              <w:rPr>
                <w:noProof/>
                <w:webHidden/>
              </w:rPr>
              <w:fldChar w:fldCharType="begin"/>
            </w:r>
            <w:r w:rsidR="006C4995">
              <w:rPr>
                <w:noProof/>
                <w:webHidden/>
              </w:rPr>
              <w:instrText xml:space="preserve"> PAGEREF _Toc434571644 \h </w:instrText>
            </w:r>
            <w:r w:rsidR="006C4995">
              <w:rPr>
                <w:noProof/>
                <w:webHidden/>
              </w:rPr>
            </w:r>
            <w:r w:rsidR="006C4995">
              <w:rPr>
                <w:noProof/>
                <w:webHidden/>
              </w:rPr>
              <w:fldChar w:fldCharType="separate"/>
            </w:r>
            <w:r w:rsidR="003C5A76">
              <w:rPr>
                <w:noProof/>
                <w:webHidden/>
              </w:rPr>
              <w:t>14</w:t>
            </w:r>
            <w:r w:rsidR="006C4995">
              <w:rPr>
                <w:noProof/>
                <w:webHidden/>
              </w:rPr>
              <w:fldChar w:fldCharType="end"/>
            </w:r>
          </w:hyperlink>
        </w:p>
        <w:p w14:paraId="5C768369" w14:textId="77777777" w:rsidR="006C4995" w:rsidRDefault="00F153AB">
          <w:pPr>
            <w:pStyle w:val="TOC3"/>
            <w:tabs>
              <w:tab w:val="right" w:leader="dot" w:pos="9350"/>
            </w:tabs>
            <w:rPr>
              <w:rFonts w:eastAsiaTheme="minorEastAsia"/>
              <w:noProof/>
              <w:color w:val="auto"/>
            </w:rPr>
          </w:pPr>
          <w:hyperlink w:anchor="_Toc434571645" w:history="1">
            <w:r w:rsidR="006C4995" w:rsidRPr="00F24241">
              <w:rPr>
                <w:rStyle w:val="Hyperlink"/>
                <w:noProof/>
              </w:rPr>
              <w:t>Budget Form</w:t>
            </w:r>
            <w:r w:rsidR="006C4995">
              <w:rPr>
                <w:noProof/>
                <w:webHidden/>
              </w:rPr>
              <w:tab/>
            </w:r>
            <w:r w:rsidR="006C4995">
              <w:rPr>
                <w:noProof/>
                <w:webHidden/>
              </w:rPr>
              <w:fldChar w:fldCharType="begin"/>
            </w:r>
            <w:r w:rsidR="006C4995">
              <w:rPr>
                <w:noProof/>
                <w:webHidden/>
              </w:rPr>
              <w:instrText xml:space="preserve"> PAGEREF _Toc434571645 \h </w:instrText>
            </w:r>
            <w:r w:rsidR="006C4995">
              <w:rPr>
                <w:noProof/>
                <w:webHidden/>
              </w:rPr>
            </w:r>
            <w:r w:rsidR="006C4995">
              <w:rPr>
                <w:noProof/>
                <w:webHidden/>
              </w:rPr>
              <w:fldChar w:fldCharType="separate"/>
            </w:r>
            <w:r w:rsidR="003C5A76">
              <w:rPr>
                <w:noProof/>
                <w:webHidden/>
              </w:rPr>
              <w:t>14</w:t>
            </w:r>
            <w:r w:rsidR="006C4995">
              <w:rPr>
                <w:noProof/>
                <w:webHidden/>
              </w:rPr>
              <w:fldChar w:fldCharType="end"/>
            </w:r>
          </w:hyperlink>
        </w:p>
        <w:p w14:paraId="499C482F" w14:textId="77777777" w:rsidR="006C4995" w:rsidRDefault="00F153AB">
          <w:pPr>
            <w:pStyle w:val="TOC3"/>
            <w:tabs>
              <w:tab w:val="right" w:leader="dot" w:pos="9350"/>
            </w:tabs>
            <w:rPr>
              <w:rFonts w:eastAsiaTheme="minorEastAsia"/>
              <w:noProof/>
              <w:color w:val="auto"/>
            </w:rPr>
          </w:pPr>
          <w:hyperlink w:anchor="_Toc434571646" w:history="1">
            <w:r w:rsidR="006C4995" w:rsidRPr="00F24241">
              <w:rPr>
                <w:rStyle w:val="Hyperlink"/>
                <w:noProof/>
              </w:rPr>
              <w:t>Workplan and Objectives</w:t>
            </w:r>
            <w:r w:rsidR="006C4995">
              <w:rPr>
                <w:noProof/>
                <w:webHidden/>
              </w:rPr>
              <w:tab/>
            </w:r>
            <w:r w:rsidR="006C4995">
              <w:rPr>
                <w:noProof/>
                <w:webHidden/>
              </w:rPr>
              <w:fldChar w:fldCharType="begin"/>
            </w:r>
            <w:r w:rsidR="006C4995">
              <w:rPr>
                <w:noProof/>
                <w:webHidden/>
              </w:rPr>
              <w:instrText xml:space="preserve"> PAGEREF _Toc434571646 \h </w:instrText>
            </w:r>
            <w:r w:rsidR="006C4995">
              <w:rPr>
                <w:noProof/>
                <w:webHidden/>
              </w:rPr>
            </w:r>
            <w:r w:rsidR="006C4995">
              <w:rPr>
                <w:noProof/>
                <w:webHidden/>
              </w:rPr>
              <w:fldChar w:fldCharType="separate"/>
            </w:r>
            <w:r w:rsidR="003C5A76">
              <w:rPr>
                <w:noProof/>
                <w:webHidden/>
              </w:rPr>
              <w:t>14</w:t>
            </w:r>
            <w:r w:rsidR="006C4995">
              <w:rPr>
                <w:noProof/>
                <w:webHidden/>
              </w:rPr>
              <w:fldChar w:fldCharType="end"/>
            </w:r>
          </w:hyperlink>
        </w:p>
        <w:p w14:paraId="0B8A0247" w14:textId="77777777" w:rsidR="006C4995" w:rsidRDefault="00F153AB">
          <w:pPr>
            <w:pStyle w:val="TOC1"/>
            <w:tabs>
              <w:tab w:val="right" w:leader="dot" w:pos="9350"/>
            </w:tabs>
            <w:rPr>
              <w:rFonts w:eastAsiaTheme="minorEastAsia"/>
              <w:b w:val="0"/>
              <w:noProof/>
              <w:color w:val="auto"/>
              <w:sz w:val="22"/>
              <w:szCs w:val="22"/>
            </w:rPr>
          </w:pPr>
          <w:hyperlink w:anchor="_Toc434571647" w:history="1">
            <w:r w:rsidR="006C4995" w:rsidRPr="00F24241">
              <w:rPr>
                <w:rStyle w:val="Hyperlink"/>
                <w:noProof/>
              </w:rPr>
              <w:t>VI. Selection Criteria</w:t>
            </w:r>
            <w:r w:rsidR="006C4995">
              <w:rPr>
                <w:noProof/>
                <w:webHidden/>
              </w:rPr>
              <w:tab/>
            </w:r>
            <w:r w:rsidR="006C4995">
              <w:rPr>
                <w:noProof/>
                <w:webHidden/>
              </w:rPr>
              <w:fldChar w:fldCharType="begin"/>
            </w:r>
            <w:r w:rsidR="006C4995">
              <w:rPr>
                <w:noProof/>
                <w:webHidden/>
              </w:rPr>
              <w:instrText xml:space="preserve"> PAGEREF _Toc434571647 \h </w:instrText>
            </w:r>
            <w:r w:rsidR="006C4995">
              <w:rPr>
                <w:noProof/>
                <w:webHidden/>
              </w:rPr>
            </w:r>
            <w:r w:rsidR="006C4995">
              <w:rPr>
                <w:noProof/>
                <w:webHidden/>
              </w:rPr>
              <w:fldChar w:fldCharType="separate"/>
            </w:r>
            <w:r w:rsidR="003C5A76">
              <w:rPr>
                <w:noProof/>
                <w:webHidden/>
              </w:rPr>
              <w:t>15</w:t>
            </w:r>
            <w:r w:rsidR="006C4995">
              <w:rPr>
                <w:noProof/>
                <w:webHidden/>
              </w:rPr>
              <w:fldChar w:fldCharType="end"/>
            </w:r>
          </w:hyperlink>
        </w:p>
        <w:p w14:paraId="4886110B" w14:textId="77777777" w:rsidR="006C4995" w:rsidRDefault="00F153AB">
          <w:pPr>
            <w:pStyle w:val="TOC1"/>
            <w:tabs>
              <w:tab w:val="right" w:leader="dot" w:pos="9350"/>
            </w:tabs>
            <w:rPr>
              <w:rFonts w:eastAsiaTheme="minorEastAsia"/>
              <w:b w:val="0"/>
              <w:noProof/>
              <w:color w:val="auto"/>
              <w:sz w:val="22"/>
              <w:szCs w:val="22"/>
            </w:rPr>
          </w:pPr>
          <w:hyperlink w:anchor="_Toc434571648" w:history="1">
            <w:r w:rsidR="006C4995" w:rsidRPr="00F24241">
              <w:rPr>
                <w:rStyle w:val="Hyperlink"/>
                <w:noProof/>
              </w:rPr>
              <w:t>VII. Application Instructions</w:t>
            </w:r>
            <w:r w:rsidR="006C4995">
              <w:rPr>
                <w:noProof/>
                <w:webHidden/>
              </w:rPr>
              <w:tab/>
            </w:r>
            <w:r w:rsidR="006C4995">
              <w:rPr>
                <w:noProof/>
                <w:webHidden/>
              </w:rPr>
              <w:fldChar w:fldCharType="begin"/>
            </w:r>
            <w:r w:rsidR="006C4995">
              <w:rPr>
                <w:noProof/>
                <w:webHidden/>
              </w:rPr>
              <w:instrText xml:space="preserve"> PAGEREF _Toc434571648 \h </w:instrText>
            </w:r>
            <w:r w:rsidR="006C4995">
              <w:rPr>
                <w:noProof/>
                <w:webHidden/>
              </w:rPr>
            </w:r>
            <w:r w:rsidR="006C4995">
              <w:rPr>
                <w:noProof/>
                <w:webHidden/>
              </w:rPr>
              <w:fldChar w:fldCharType="separate"/>
            </w:r>
            <w:r w:rsidR="003C5A76">
              <w:rPr>
                <w:noProof/>
                <w:webHidden/>
              </w:rPr>
              <w:t>16</w:t>
            </w:r>
            <w:r w:rsidR="006C4995">
              <w:rPr>
                <w:noProof/>
                <w:webHidden/>
              </w:rPr>
              <w:fldChar w:fldCharType="end"/>
            </w:r>
          </w:hyperlink>
        </w:p>
        <w:p w14:paraId="5A48B620" w14:textId="77777777" w:rsidR="006C4995" w:rsidRDefault="00F153AB">
          <w:pPr>
            <w:pStyle w:val="TOC1"/>
            <w:tabs>
              <w:tab w:val="right" w:leader="dot" w:pos="9350"/>
            </w:tabs>
            <w:rPr>
              <w:rFonts w:eastAsiaTheme="minorEastAsia"/>
              <w:b w:val="0"/>
              <w:noProof/>
              <w:color w:val="auto"/>
              <w:sz w:val="22"/>
              <w:szCs w:val="22"/>
            </w:rPr>
          </w:pPr>
          <w:hyperlink w:anchor="_Toc434571649" w:history="1">
            <w:r w:rsidR="006C4995" w:rsidRPr="00F24241">
              <w:rPr>
                <w:rStyle w:val="Hyperlink"/>
                <w:noProof/>
              </w:rPr>
              <w:t>Appendix</w:t>
            </w:r>
            <w:r w:rsidR="006C4995">
              <w:rPr>
                <w:noProof/>
                <w:webHidden/>
              </w:rPr>
              <w:tab/>
            </w:r>
            <w:r w:rsidR="006C4995">
              <w:rPr>
                <w:noProof/>
                <w:webHidden/>
              </w:rPr>
              <w:fldChar w:fldCharType="begin"/>
            </w:r>
            <w:r w:rsidR="006C4995">
              <w:rPr>
                <w:noProof/>
                <w:webHidden/>
              </w:rPr>
              <w:instrText xml:space="preserve"> PAGEREF _Toc434571649 \h </w:instrText>
            </w:r>
            <w:r w:rsidR="006C4995">
              <w:rPr>
                <w:noProof/>
                <w:webHidden/>
              </w:rPr>
            </w:r>
            <w:r w:rsidR="006C4995">
              <w:rPr>
                <w:noProof/>
                <w:webHidden/>
              </w:rPr>
              <w:fldChar w:fldCharType="separate"/>
            </w:r>
            <w:r w:rsidR="003C5A76">
              <w:rPr>
                <w:noProof/>
                <w:webHidden/>
              </w:rPr>
              <w:t>17</w:t>
            </w:r>
            <w:r w:rsidR="006C4995">
              <w:rPr>
                <w:noProof/>
                <w:webHidden/>
              </w:rPr>
              <w:fldChar w:fldCharType="end"/>
            </w:r>
          </w:hyperlink>
        </w:p>
        <w:p w14:paraId="327FCF61" w14:textId="77777777" w:rsidR="006C4995" w:rsidRDefault="00F153AB">
          <w:pPr>
            <w:pStyle w:val="TOC2"/>
            <w:tabs>
              <w:tab w:val="right" w:leader="dot" w:pos="9350"/>
            </w:tabs>
            <w:rPr>
              <w:rFonts w:eastAsiaTheme="minorEastAsia"/>
              <w:b w:val="0"/>
              <w:noProof/>
              <w:color w:val="auto"/>
            </w:rPr>
          </w:pPr>
          <w:hyperlink w:anchor="_Toc434571650" w:history="1">
            <w:r w:rsidR="006C4995" w:rsidRPr="00F24241">
              <w:rPr>
                <w:rStyle w:val="Hyperlink"/>
                <w:noProof/>
              </w:rPr>
              <w:t>Form A: Information Required on Cover Page</w:t>
            </w:r>
            <w:r w:rsidR="006C4995">
              <w:rPr>
                <w:noProof/>
                <w:webHidden/>
              </w:rPr>
              <w:tab/>
            </w:r>
            <w:r w:rsidR="006C4995">
              <w:rPr>
                <w:noProof/>
                <w:webHidden/>
              </w:rPr>
              <w:fldChar w:fldCharType="begin"/>
            </w:r>
            <w:r w:rsidR="006C4995">
              <w:rPr>
                <w:noProof/>
                <w:webHidden/>
              </w:rPr>
              <w:instrText xml:space="preserve"> PAGEREF _Toc434571650 \h </w:instrText>
            </w:r>
            <w:r w:rsidR="006C4995">
              <w:rPr>
                <w:noProof/>
                <w:webHidden/>
              </w:rPr>
            </w:r>
            <w:r w:rsidR="006C4995">
              <w:rPr>
                <w:noProof/>
                <w:webHidden/>
              </w:rPr>
              <w:fldChar w:fldCharType="separate"/>
            </w:r>
            <w:r w:rsidR="003C5A76">
              <w:rPr>
                <w:noProof/>
                <w:webHidden/>
              </w:rPr>
              <w:t>17</w:t>
            </w:r>
            <w:r w:rsidR="006C4995">
              <w:rPr>
                <w:noProof/>
                <w:webHidden/>
              </w:rPr>
              <w:fldChar w:fldCharType="end"/>
            </w:r>
          </w:hyperlink>
        </w:p>
        <w:p w14:paraId="6C438956" w14:textId="77777777" w:rsidR="006C4995" w:rsidRDefault="00F153AB">
          <w:pPr>
            <w:pStyle w:val="TOC2"/>
            <w:tabs>
              <w:tab w:val="right" w:leader="dot" w:pos="9350"/>
            </w:tabs>
            <w:rPr>
              <w:rFonts w:eastAsiaTheme="minorEastAsia"/>
              <w:b w:val="0"/>
              <w:noProof/>
              <w:color w:val="auto"/>
            </w:rPr>
          </w:pPr>
          <w:hyperlink w:anchor="_Toc434571651" w:history="1">
            <w:r w:rsidR="006C4995" w:rsidRPr="00F24241">
              <w:rPr>
                <w:rStyle w:val="Hyperlink"/>
                <w:noProof/>
              </w:rPr>
              <w:t>Form B: Proposed Budget</w:t>
            </w:r>
            <w:r w:rsidR="006C4995">
              <w:rPr>
                <w:noProof/>
                <w:webHidden/>
              </w:rPr>
              <w:tab/>
            </w:r>
            <w:r w:rsidR="006C4995">
              <w:rPr>
                <w:noProof/>
                <w:webHidden/>
              </w:rPr>
              <w:fldChar w:fldCharType="begin"/>
            </w:r>
            <w:r w:rsidR="006C4995">
              <w:rPr>
                <w:noProof/>
                <w:webHidden/>
              </w:rPr>
              <w:instrText xml:space="preserve"> PAGEREF _Toc434571651 \h </w:instrText>
            </w:r>
            <w:r w:rsidR="006C4995">
              <w:rPr>
                <w:noProof/>
                <w:webHidden/>
              </w:rPr>
            </w:r>
            <w:r w:rsidR="006C4995">
              <w:rPr>
                <w:noProof/>
                <w:webHidden/>
              </w:rPr>
              <w:fldChar w:fldCharType="separate"/>
            </w:r>
            <w:r w:rsidR="003C5A76">
              <w:rPr>
                <w:noProof/>
                <w:webHidden/>
              </w:rPr>
              <w:t>18</w:t>
            </w:r>
            <w:r w:rsidR="006C4995">
              <w:rPr>
                <w:noProof/>
                <w:webHidden/>
              </w:rPr>
              <w:fldChar w:fldCharType="end"/>
            </w:r>
          </w:hyperlink>
        </w:p>
        <w:p w14:paraId="75F8A4EB" w14:textId="77777777" w:rsidR="006C4995" w:rsidRDefault="00F153AB">
          <w:pPr>
            <w:pStyle w:val="TOC2"/>
            <w:tabs>
              <w:tab w:val="right" w:leader="dot" w:pos="9350"/>
            </w:tabs>
            <w:rPr>
              <w:rFonts w:eastAsiaTheme="minorEastAsia"/>
              <w:b w:val="0"/>
              <w:noProof/>
              <w:color w:val="auto"/>
            </w:rPr>
          </w:pPr>
          <w:hyperlink w:anchor="_Toc434571652" w:history="1">
            <w:r w:rsidR="006C4995" w:rsidRPr="00F24241">
              <w:rPr>
                <w:rStyle w:val="Hyperlink"/>
                <w:noProof/>
              </w:rPr>
              <w:t>Form C: Workplan and Objectives</w:t>
            </w:r>
            <w:r w:rsidR="006C4995">
              <w:rPr>
                <w:noProof/>
                <w:webHidden/>
              </w:rPr>
              <w:tab/>
            </w:r>
            <w:r w:rsidR="006C4995">
              <w:rPr>
                <w:noProof/>
                <w:webHidden/>
              </w:rPr>
              <w:fldChar w:fldCharType="begin"/>
            </w:r>
            <w:r w:rsidR="006C4995">
              <w:rPr>
                <w:noProof/>
                <w:webHidden/>
              </w:rPr>
              <w:instrText xml:space="preserve"> PAGEREF _Toc434571652 \h </w:instrText>
            </w:r>
            <w:r w:rsidR="006C4995">
              <w:rPr>
                <w:noProof/>
                <w:webHidden/>
              </w:rPr>
            </w:r>
            <w:r w:rsidR="006C4995">
              <w:rPr>
                <w:noProof/>
                <w:webHidden/>
              </w:rPr>
              <w:fldChar w:fldCharType="separate"/>
            </w:r>
            <w:r w:rsidR="003C5A76">
              <w:rPr>
                <w:noProof/>
                <w:webHidden/>
              </w:rPr>
              <w:t>20</w:t>
            </w:r>
            <w:r w:rsidR="006C4995">
              <w:rPr>
                <w:noProof/>
                <w:webHidden/>
              </w:rPr>
              <w:fldChar w:fldCharType="end"/>
            </w:r>
          </w:hyperlink>
        </w:p>
        <w:p w14:paraId="5EDBD52A" w14:textId="77777777" w:rsidR="006C4995" w:rsidRDefault="00F153AB">
          <w:pPr>
            <w:pStyle w:val="TOC1"/>
            <w:tabs>
              <w:tab w:val="right" w:leader="dot" w:pos="9350"/>
            </w:tabs>
            <w:rPr>
              <w:rFonts w:eastAsiaTheme="minorEastAsia"/>
              <w:b w:val="0"/>
              <w:noProof/>
              <w:color w:val="auto"/>
              <w:sz w:val="22"/>
              <w:szCs w:val="22"/>
            </w:rPr>
          </w:pPr>
          <w:hyperlink w:anchor="_Toc434571653" w:history="1">
            <w:r w:rsidR="006C4995" w:rsidRPr="00F24241">
              <w:rPr>
                <w:rStyle w:val="Hyperlink"/>
                <w:noProof/>
              </w:rPr>
              <w:t>Frequently Asked Questions (FAQs)</w:t>
            </w:r>
            <w:r w:rsidR="006C4995">
              <w:rPr>
                <w:noProof/>
                <w:webHidden/>
              </w:rPr>
              <w:tab/>
            </w:r>
            <w:r w:rsidR="006C4995">
              <w:rPr>
                <w:noProof/>
                <w:webHidden/>
              </w:rPr>
              <w:fldChar w:fldCharType="begin"/>
            </w:r>
            <w:r w:rsidR="006C4995">
              <w:rPr>
                <w:noProof/>
                <w:webHidden/>
              </w:rPr>
              <w:instrText xml:space="preserve"> PAGEREF _Toc434571653 \h </w:instrText>
            </w:r>
            <w:r w:rsidR="006C4995">
              <w:rPr>
                <w:noProof/>
                <w:webHidden/>
              </w:rPr>
            </w:r>
            <w:r w:rsidR="006C4995">
              <w:rPr>
                <w:noProof/>
                <w:webHidden/>
              </w:rPr>
              <w:fldChar w:fldCharType="separate"/>
            </w:r>
            <w:r w:rsidR="003C5A76">
              <w:rPr>
                <w:noProof/>
                <w:webHidden/>
              </w:rPr>
              <w:t>21</w:t>
            </w:r>
            <w:r w:rsidR="006C4995">
              <w:rPr>
                <w:noProof/>
                <w:webHidden/>
              </w:rPr>
              <w:fldChar w:fldCharType="end"/>
            </w:r>
          </w:hyperlink>
        </w:p>
        <w:p w14:paraId="328D8799" w14:textId="77777777" w:rsidR="006C4995" w:rsidRDefault="00F153AB">
          <w:pPr>
            <w:pStyle w:val="TOC2"/>
            <w:tabs>
              <w:tab w:val="right" w:leader="dot" w:pos="9350"/>
            </w:tabs>
            <w:rPr>
              <w:rFonts w:eastAsiaTheme="minorEastAsia"/>
              <w:b w:val="0"/>
              <w:noProof/>
              <w:color w:val="auto"/>
            </w:rPr>
          </w:pPr>
          <w:hyperlink w:anchor="_Toc434571654" w:history="1">
            <w:r w:rsidR="006C4995" w:rsidRPr="00F24241">
              <w:rPr>
                <w:rStyle w:val="Hyperlink"/>
                <w:noProof/>
              </w:rPr>
              <w:t>Eligibility</w:t>
            </w:r>
            <w:r w:rsidR="006C4995">
              <w:rPr>
                <w:noProof/>
                <w:webHidden/>
              </w:rPr>
              <w:tab/>
            </w:r>
            <w:r w:rsidR="006C4995">
              <w:rPr>
                <w:noProof/>
                <w:webHidden/>
              </w:rPr>
              <w:fldChar w:fldCharType="begin"/>
            </w:r>
            <w:r w:rsidR="006C4995">
              <w:rPr>
                <w:noProof/>
                <w:webHidden/>
              </w:rPr>
              <w:instrText xml:space="preserve"> PAGEREF _Toc434571654 \h </w:instrText>
            </w:r>
            <w:r w:rsidR="006C4995">
              <w:rPr>
                <w:noProof/>
                <w:webHidden/>
              </w:rPr>
            </w:r>
            <w:r w:rsidR="006C4995">
              <w:rPr>
                <w:noProof/>
                <w:webHidden/>
              </w:rPr>
              <w:fldChar w:fldCharType="separate"/>
            </w:r>
            <w:r w:rsidR="003C5A76">
              <w:rPr>
                <w:noProof/>
                <w:webHidden/>
              </w:rPr>
              <w:t>21</w:t>
            </w:r>
            <w:r w:rsidR="006C4995">
              <w:rPr>
                <w:noProof/>
                <w:webHidden/>
              </w:rPr>
              <w:fldChar w:fldCharType="end"/>
            </w:r>
          </w:hyperlink>
        </w:p>
        <w:p w14:paraId="7A97BC2A" w14:textId="77777777" w:rsidR="006C4995" w:rsidRDefault="00F153AB">
          <w:pPr>
            <w:pStyle w:val="TOC2"/>
            <w:tabs>
              <w:tab w:val="right" w:leader="dot" w:pos="9350"/>
            </w:tabs>
            <w:rPr>
              <w:rFonts w:eastAsiaTheme="minorEastAsia"/>
              <w:b w:val="0"/>
              <w:noProof/>
              <w:color w:val="auto"/>
            </w:rPr>
          </w:pPr>
          <w:hyperlink w:anchor="_Toc434571655" w:history="1">
            <w:r w:rsidR="006C4995" w:rsidRPr="00F24241">
              <w:rPr>
                <w:rStyle w:val="Hyperlink"/>
                <w:noProof/>
              </w:rPr>
              <w:t>Project Scope and Requirements</w:t>
            </w:r>
            <w:r w:rsidR="006C4995">
              <w:rPr>
                <w:noProof/>
                <w:webHidden/>
              </w:rPr>
              <w:tab/>
            </w:r>
            <w:r w:rsidR="006C4995">
              <w:rPr>
                <w:noProof/>
                <w:webHidden/>
              </w:rPr>
              <w:fldChar w:fldCharType="begin"/>
            </w:r>
            <w:r w:rsidR="006C4995">
              <w:rPr>
                <w:noProof/>
                <w:webHidden/>
              </w:rPr>
              <w:instrText xml:space="preserve"> PAGEREF _Toc434571655 \h </w:instrText>
            </w:r>
            <w:r w:rsidR="006C4995">
              <w:rPr>
                <w:noProof/>
                <w:webHidden/>
              </w:rPr>
            </w:r>
            <w:r w:rsidR="006C4995">
              <w:rPr>
                <w:noProof/>
                <w:webHidden/>
              </w:rPr>
              <w:fldChar w:fldCharType="separate"/>
            </w:r>
            <w:r w:rsidR="003C5A76">
              <w:rPr>
                <w:noProof/>
                <w:webHidden/>
              </w:rPr>
              <w:t>22</w:t>
            </w:r>
            <w:r w:rsidR="006C4995">
              <w:rPr>
                <w:noProof/>
                <w:webHidden/>
              </w:rPr>
              <w:fldChar w:fldCharType="end"/>
            </w:r>
          </w:hyperlink>
        </w:p>
        <w:p w14:paraId="2A1A9151" w14:textId="77777777" w:rsidR="006C4995" w:rsidRDefault="00F153AB">
          <w:pPr>
            <w:pStyle w:val="TOC2"/>
            <w:tabs>
              <w:tab w:val="right" w:leader="dot" w:pos="9350"/>
            </w:tabs>
            <w:rPr>
              <w:rFonts w:eastAsiaTheme="minorEastAsia"/>
              <w:b w:val="0"/>
              <w:noProof/>
              <w:color w:val="auto"/>
            </w:rPr>
          </w:pPr>
          <w:hyperlink w:anchor="_Toc434571656" w:history="1">
            <w:r w:rsidR="006C4995" w:rsidRPr="00F24241">
              <w:rPr>
                <w:rStyle w:val="Hyperlink"/>
                <w:noProof/>
              </w:rPr>
              <w:t>Budget</w:t>
            </w:r>
            <w:r w:rsidR="006C4995">
              <w:rPr>
                <w:noProof/>
                <w:webHidden/>
              </w:rPr>
              <w:tab/>
            </w:r>
            <w:r w:rsidR="006C4995">
              <w:rPr>
                <w:noProof/>
                <w:webHidden/>
              </w:rPr>
              <w:fldChar w:fldCharType="begin"/>
            </w:r>
            <w:r w:rsidR="006C4995">
              <w:rPr>
                <w:noProof/>
                <w:webHidden/>
              </w:rPr>
              <w:instrText xml:space="preserve"> PAGEREF _Toc434571656 \h </w:instrText>
            </w:r>
            <w:r w:rsidR="006C4995">
              <w:rPr>
                <w:noProof/>
                <w:webHidden/>
              </w:rPr>
            </w:r>
            <w:r w:rsidR="006C4995">
              <w:rPr>
                <w:noProof/>
                <w:webHidden/>
              </w:rPr>
              <w:fldChar w:fldCharType="separate"/>
            </w:r>
            <w:r w:rsidR="003C5A76">
              <w:rPr>
                <w:noProof/>
                <w:webHidden/>
              </w:rPr>
              <w:t>24</w:t>
            </w:r>
            <w:r w:rsidR="006C4995">
              <w:rPr>
                <w:noProof/>
                <w:webHidden/>
              </w:rPr>
              <w:fldChar w:fldCharType="end"/>
            </w:r>
          </w:hyperlink>
        </w:p>
        <w:p w14:paraId="0AA2F102" w14:textId="77777777" w:rsidR="00B90ABF" w:rsidRDefault="00125225">
          <w:r>
            <w:rPr>
              <w:b/>
              <w:bCs/>
              <w:noProof/>
            </w:rPr>
            <w:fldChar w:fldCharType="end"/>
          </w:r>
        </w:p>
      </w:sdtContent>
    </w:sdt>
    <w:p w14:paraId="280490CD" w14:textId="77777777" w:rsidR="00E30CF5" w:rsidRPr="00DA7362" w:rsidRDefault="00E30CF5" w:rsidP="00B90ABF">
      <w:pPr>
        <w:spacing w:after="0"/>
      </w:pPr>
    </w:p>
    <w:p w14:paraId="5233CF5B" w14:textId="77777777" w:rsidR="00241913" w:rsidRDefault="00241913">
      <w:pPr>
        <w:rPr>
          <w:b/>
          <w:sz w:val="26"/>
          <w:szCs w:val="26"/>
        </w:rPr>
      </w:pPr>
      <w:r>
        <w:rPr>
          <w:b/>
          <w:sz w:val="26"/>
          <w:szCs w:val="26"/>
        </w:rPr>
        <w:br w:type="page"/>
      </w:r>
    </w:p>
    <w:p w14:paraId="28A6A975" w14:textId="77777777" w:rsidR="004667E9" w:rsidRPr="009B24B8" w:rsidRDefault="00EB7624" w:rsidP="00912683">
      <w:pPr>
        <w:pStyle w:val="Heading1"/>
      </w:pPr>
      <w:bookmarkStart w:id="1" w:name="_Toc434571634"/>
      <w:r>
        <w:lastRenderedPageBreak/>
        <w:t>I</w:t>
      </w:r>
      <w:r w:rsidR="004E35FB">
        <w:t xml:space="preserve">. </w:t>
      </w:r>
      <w:r w:rsidR="00477221">
        <w:t>Overview</w:t>
      </w:r>
      <w:bookmarkEnd w:id="1"/>
    </w:p>
    <w:p w14:paraId="1CBFA75A" w14:textId="0A3E21B6" w:rsidR="0039479E" w:rsidRDefault="00B31DD6" w:rsidP="0039479E">
      <w:r>
        <w:t>The Opportunity Institute, on behalf of t</w:t>
      </w:r>
      <w:r w:rsidR="00526FEF">
        <w:t>he Renewing Communities Initiative</w:t>
      </w:r>
      <w:r>
        <w:t>,</w:t>
      </w:r>
      <w:r w:rsidR="00FA4DDA" w:rsidRPr="00840064">
        <w:t xml:space="preserve"> is accepting applications </w:t>
      </w:r>
      <w:r w:rsidR="001E0AB5">
        <w:t xml:space="preserve">for </w:t>
      </w:r>
      <w:r w:rsidR="00842D6F">
        <w:t xml:space="preserve">higher education </w:t>
      </w:r>
      <w:r w:rsidR="001E0AB5">
        <w:t>programs targeting currently</w:t>
      </w:r>
      <w:r w:rsidR="009B664B">
        <w:t xml:space="preserve"> and formerly</w:t>
      </w:r>
      <w:r w:rsidR="001E0AB5">
        <w:t xml:space="preserve"> incarcerated students in California</w:t>
      </w:r>
      <w:r w:rsidR="009B664B">
        <w:t xml:space="preserve">. </w:t>
      </w:r>
      <w:r w:rsidR="00A34B6C">
        <w:t>Renewing Communities</w:t>
      </w:r>
      <w:r w:rsidR="00A34B6C" w:rsidRPr="00B71A34">
        <w:t xml:space="preserve"> is funded by </w:t>
      </w:r>
      <w:proofErr w:type="gramStart"/>
      <w:r w:rsidR="00A34B6C" w:rsidRPr="00B71A34">
        <w:t>a number of</w:t>
      </w:r>
      <w:proofErr w:type="gramEnd"/>
      <w:r w:rsidR="00A34B6C" w:rsidRPr="00B71A34">
        <w:t xml:space="preserve"> philanthropic foundations</w:t>
      </w:r>
      <w:r w:rsidR="00007E4C">
        <w:t xml:space="preserve"> and groups</w:t>
      </w:r>
      <w:r w:rsidR="00A34B6C">
        <w:t>; this</w:t>
      </w:r>
      <w:r w:rsidR="00432340">
        <w:t xml:space="preserve"> R</w:t>
      </w:r>
      <w:r>
        <w:t>equest for Proposals (R</w:t>
      </w:r>
      <w:r w:rsidR="00432340">
        <w:t>FP</w:t>
      </w:r>
      <w:r>
        <w:t>)</w:t>
      </w:r>
      <w:r w:rsidR="00432340">
        <w:t xml:space="preserve"> </w:t>
      </w:r>
      <w:r w:rsidR="00A34B6C">
        <w:t>will</w:t>
      </w:r>
      <w:r w:rsidR="00432340">
        <w:t xml:space="preserve"> fund prison-based, jail-based, and community-based </w:t>
      </w:r>
      <w:r w:rsidR="00432340" w:rsidRPr="002819A9">
        <w:t xml:space="preserve">college </w:t>
      </w:r>
      <w:r w:rsidR="00A34B6C">
        <w:t xml:space="preserve">programs </w:t>
      </w:r>
      <w:r w:rsidR="00432340" w:rsidRPr="00B71A34">
        <w:t>for crim</w:t>
      </w:r>
      <w:r w:rsidR="00A34B6C">
        <w:t>inal justice-involved students.</w:t>
      </w:r>
      <w:r w:rsidR="002B1B35" w:rsidRPr="00B71A34">
        <w:t xml:space="preserve"> </w:t>
      </w:r>
      <w:r w:rsidR="00444B87">
        <w:t>Over three years, a</w:t>
      </w:r>
      <w:r w:rsidR="0039479E">
        <w:t xml:space="preserve"> total of more than $5 million will be available. </w:t>
      </w:r>
      <w:r w:rsidR="001E0AB5" w:rsidRPr="00B71A34">
        <w:t xml:space="preserve">Funds in the amount of </w:t>
      </w:r>
      <w:r w:rsidR="002B1B35" w:rsidRPr="00B71A34">
        <w:t>$1,</w:t>
      </w:r>
      <w:r w:rsidR="00C0497A">
        <w:t>750,000</w:t>
      </w:r>
      <w:r w:rsidR="00FA4DDA" w:rsidRPr="00B71A34">
        <w:t xml:space="preserve"> are </w:t>
      </w:r>
      <w:r w:rsidR="006F5FFA" w:rsidRPr="00B71A34">
        <w:t xml:space="preserve">currently </w:t>
      </w:r>
      <w:r w:rsidR="00FA4DDA" w:rsidRPr="00B71A34">
        <w:t>available</w:t>
      </w:r>
      <w:r w:rsidR="002B1B35" w:rsidRPr="00B71A34">
        <w:t xml:space="preserve"> for </w:t>
      </w:r>
      <w:r w:rsidR="00A34B6C">
        <w:t>one</w:t>
      </w:r>
      <w:r w:rsidR="002B1B35" w:rsidRPr="00B71A34">
        <w:t xml:space="preserve"> year of funding</w:t>
      </w:r>
      <w:r w:rsidR="006F5FFA" w:rsidRPr="00B71A34">
        <w:t xml:space="preserve">, but additional funds may </w:t>
      </w:r>
      <w:r w:rsidR="006F5FFA" w:rsidRPr="0083686F">
        <w:t>be confirmed</w:t>
      </w:r>
      <w:r w:rsidR="002B1B35" w:rsidRPr="0083686F">
        <w:t xml:space="preserve"> before </w:t>
      </w:r>
      <w:r w:rsidR="00FD6B93" w:rsidRPr="00B71A34">
        <w:t>applicants are selected for award</w:t>
      </w:r>
      <w:r w:rsidR="00A34B6C">
        <w:t xml:space="preserve">. </w:t>
      </w:r>
      <w:r w:rsidR="008B7AD2" w:rsidRPr="00B71A34">
        <w:t xml:space="preserve">It is anticipated that </w:t>
      </w:r>
      <w:r w:rsidR="00526FEF" w:rsidRPr="00B71A34">
        <w:t xml:space="preserve">at least </w:t>
      </w:r>
      <w:r w:rsidR="00810836" w:rsidRPr="00B71A34">
        <w:t xml:space="preserve">six to ten </w:t>
      </w:r>
      <w:r w:rsidR="00526FEF" w:rsidRPr="0083686F">
        <w:t>sites</w:t>
      </w:r>
      <w:r w:rsidR="008B7AD2" w:rsidRPr="00B71A34">
        <w:t xml:space="preserve"> will be funded</w:t>
      </w:r>
      <w:r w:rsidR="00810836" w:rsidRPr="00B71A34">
        <w:t>; budgets for the sites may vary widely</w:t>
      </w:r>
      <w:r w:rsidR="00526FEF" w:rsidRPr="00B71A34">
        <w:t>.</w:t>
      </w:r>
      <w:r w:rsidR="00E96B90" w:rsidRPr="00B71A34">
        <w:t xml:space="preserve"> </w:t>
      </w:r>
      <w:r w:rsidR="003C1946" w:rsidRPr="00B71A34">
        <w:t xml:space="preserve">The grant period will be </w:t>
      </w:r>
      <w:r w:rsidR="00112FCF" w:rsidRPr="00B71A34">
        <w:t xml:space="preserve">one </w:t>
      </w:r>
      <w:r w:rsidR="00E96B90" w:rsidRPr="00B71A34">
        <w:t>year</w:t>
      </w:r>
      <w:r w:rsidR="002A3E9E">
        <w:t xml:space="preserve">. </w:t>
      </w:r>
      <w:r w:rsidR="0039479E">
        <w:t>R</w:t>
      </w:r>
      <w:r w:rsidR="009E415E">
        <w:t>enewed</w:t>
      </w:r>
      <w:r w:rsidR="00444B87">
        <w:t xml:space="preserve"> contracts with equal or </w:t>
      </w:r>
      <w:r w:rsidR="0039479E">
        <w:t>greater funding in years two and three are expected but not guaranteed.</w:t>
      </w:r>
    </w:p>
    <w:p w14:paraId="7F83E3DC" w14:textId="77777777" w:rsidR="00526FEF" w:rsidRPr="00595C43" w:rsidRDefault="00526FEF" w:rsidP="00526FEF">
      <w:r>
        <w:t>This funding initiative</w:t>
      </w:r>
      <w:r w:rsidR="003C6202">
        <w:t xml:space="preserve"> aims to expand and improve college pathways for criminal justice-involved students. It</w:t>
      </w:r>
      <w:r>
        <w:t xml:space="preserve"> </w:t>
      </w:r>
      <w:r w:rsidR="003956D1">
        <w:t>adheres to</w:t>
      </w:r>
      <w:r>
        <w:t xml:space="preserve"> the recommendations outlined in the report, </w:t>
      </w:r>
      <w:r w:rsidRPr="00FE61B4">
        <w:rPr>
          <w:i/>
        </w:rPr>
        <w:t>Degrees of Freedom: Expanding College Opportunities for Currently and Formerly Incarcerated Californians</w:t>
      </w:r>
      <w:r w:rsidRPr="00020935">
        <w:t>,</w:t>
      </w:r>
      <w:r w:rsidRPr="00FE61B4">
        <w:rPr>
          <w:i/>
        </w:rPr>
        <w:t xml:space="preserve"> </w:t>
      </w:r>
      <w:r>
        <w:t>published in February 2015 by the Stanford Criminal Justice Center at Stanford Law School and the Chief Justice Earl Warren Institute on Law and Social Policy at UC Berkeley School of Law. This report should be consulted in the process of planning and preparing an application.</w:t>
      </w:r>
    </w:p>
    <w:p w14:paraId="01C969A9" w14:textId="77777777" w:rsidR="002510C9" w:rsidRDefault="00526FEF" w:rsidP="00C24186">
      <w:pPr>
        <w:spacing w:after="0"/>
      </w:pPr>
      <w:r w:rsidRPr="00840064">
        <w:t xml:space="preserve">To accomplish </w:t>
      </w:r>
      <w:r>
        <w:t>the</w:t>
      </w:r>
      <w:r w:rsidRPr="00840064">
        <w:t xml:space="preserve"> goal</w:t>
      </w:r>
      <w:r>
        <w:t xml:space="preserve"> of expanding and improving college pathways for criminal justice-involved students</w:t>
      </w:r>
      <w:r w:rsidRPr="00840064">
        <w:t>, successful applicants will:</w:t>
      </w:r>
    </w:p>
    <w:p w14:paraId="26E719E4" w14:textId="77777777" w:rsidR="00526FEF" w:rsidRPr="00840064" w:rsidRDefault="00526FEF" w:rsidP="00C24186">
      <w:pPr>
        <w:spacing w:after="0"/>
      </w:pPr>
    </w:p>
    <w:p w14:paraId="0AD8FABA" w14:textId="77777777" w:rsidR="00D939FC" w:rsidRDefault="00D939FC" w:rsidP="00526FEF">
      <w:pPr>
        <w:pStyle w:val="ListParagraph"/>
        <w:numPr>
          <w:ilvl w:val="0"/>
          <w:numId w:val="2"/>
        </w:numPr>
      </w:pPr>
      <w:r>
        <w:t>Ensure high-quality academic programming</w:t>
      </w:r>
      <w:r w:rsidR="00DC68C7">
        <w:t xml:space="preserve"> </w:t>
      </w:r>
      <w:r w:rsidR="00C0497A">
        <w:t>and/</w:t>
      </w:r>
      <w:r w:rsidR="00DC68C7">
        <w:t xml:space="preserve">or </w:t>
      </w:r>
      <w:r w:rsidR="002A3E9E">
        <w:t>support structures</w:t>
      </w:r>
      <w:r w:rsidR="00DC68C7">
        <w:t xml:space="preserve"> that are</w:t>
      </w:r>
      <w:r>
        <w:t xml:space="preserve"> responsive to the needs of criminal justice-involved students;</w:t>
      </w:r>
    </w:p>
    <w:p w14:paraId="41177335" w14:textId="77777777" w:rsidR="00D939FC" w:rsidRPr="00B71A34" w:rsidRDefault="00D939FC" w:rsidP="00D939FC">
      <w:pPr>
        <w:pStyle w:val="ListParagraph"/>
        <w:numPr>
          <w:ilvl w:val="0"/>
          <w:numId w:val="2"/>
        </w:numPr>
      </w:pPr>
      <w:r>
        <w:t xml:space="preserve">Enable </w:t>
      </w:r>
      <w:r w:rsidRPr="00B71A34">
        <w:t>student success by prioritizing academic and non-academic support services,</w:t>
      </w:r>
      <w:r w:rsidR="005E6348" w:rsidRPr="00B71A34">
        <w:t xml:space="preserve"> usually</w:t>
      </w:r>
      <w:r w:rsidRPr="00B71A34">
        <w:t xml:space="preserve"> including college readiness courses, academic placement and counseling, fin</w:t>
      </w:r>
      <w:r w:rsidR="005E6348" w:rsidRPr="00B71A34">
        <w:t>ancial and career counseling,</w:t>
      </w:r>
      <w:r w:rsidR="002A3E9E">
        <w:t xml:space="preserve"> soft skills development including persistence and resilience,</w:t>
      </w:r>
      <w:r w:rsidRPr="00B71A34">
        <w:t xml:space="preserve"> connections to reentry services</w:t>
      </w:r>
      <w:r w:rsidR="005E6348" w:rsidRPr="00B71A34">
        <w:t xml:space="preserve">, </w:t>
      </w:r>
      <w:r w:rsidR="005E6348" w:rsidRPr="0083686F">
        <w:t xml:space="preserve">and career counseling or guidance specific to those with </w:t>
      </w:r>
      <w:r w:rsidR="009D2280">
        <w:t>criminal records</w:t>
      </w:r>
      <w:r w:rsidRPr="00B71A34">
        <w:t>;</w:t>
      </w:r>
    </w:p>
    <w:p w14:paraId="3BAB9697" w14:textId="77777777" w:rsidR="00DC68C7" w:rsidRPr="00B71A34" w:rsidRDefault="00EA0DC7" w:rsidP="006F5FFA">
      <w:pPr>
        <w:pStyle w:val="ListParagraph"/>
        <w:numPr>
          <w:ilvl w:val="0"/>
          <w:numId w:val="2"/>
        </w:numPr>
      </w:pPr>
      <w:r w:rsidRPr="00B71A34">
        <w:t>Build</w:t>
      </w:r>
      <w:r w:rsidR="00A614F5" w:rsidRPr="00B71A34">
        <w:t xml:space="preserve"> </w:t>
      </w:r>
      <w:r w:rsidR="002A3E9E">
        <w:t xml:space="preserve">links from corrections to higher education, and foster </w:t>
      </w:r>
      <w:r w:rsidRPr="00B71A34">
        <w:t xml:space="preserve">collaboration </w:t>
      </w:r>
      <w:r w:rsidR="00A614F5" w:rsidRPr="00B71A34">
        <w:t>among educational institutions, correctional agencies, and</w:t>
      </w:r>
      <w:r w:rsidR="003C6202" w:rsidRPr="00B71A34">
        <w:t>/or</w:t>
      </w:r>
      <w:r w:rsidR="00A614F5" w:rsidRPr="00B71A34">
        <w:t xml:space="preserve"> reentry organizations;</w:t>
      </w:r>
    </w:p>
    <w:p w14:paraId="40BCECA2" w14:textId="77777777" w:rsidR="00A614F5" w:rsidRPr="00B71A34" w:rsidRDefault="00A614F5" w:rsidP="00526FEF">
      <w:pPr>
        <w:pStyle w:val="ListParagraph"/>
        <w:numPr>
          <w:ilvl w:val="0"/>
          <w:numId w:val="2"/>
        </w:numPr>
      </w:pPr>
      <w:r w:rsidRPr="00B71A34">
        <w:t>Demonstrate long-term sus</w:t>
      </w:r>
      <w:r w:rsidR="004973AB" w:rsidRPr="00B71A34">
        <w:t>tainability</w:t>
      </w:r>
      <w:r w:rsidR="00651E77" w:rsidRPr="00B71A34">
        <w:t xml:space="preserve"> </w:t>
      </w:r>
      <w:r w:rsidR="00444B87">
        <w:t xml:space="preserve">and </w:t>
      </w:r>
      <w:r w:rsidR="00012201">
        <w:t xml:space="preserve">capacity for </w:t>
      </w:r>
      <w:r w:rsidR="007F0A7F">
        <w:t>scalability</w:t>
      </w:r>
      <w:r w:rsidR="00444B87">
        <w:t xml:space="preserve"> </w:t>
      </w:r>
      <w:r w:rsidR="00651E77" w:rsidRPr="00B71A34">
        <w:t xml:space="preserve">and bring matching </w:t>
      </w:r>
      <w:r w:rsidR="005E6348" w:rsidRPr="00B71A34">
        <w:t xml:space="preserve">public </w:t>
      </w:r>
      <w:r w:rsidR="00651E77" w:rsidRPr="00B71A34">
        <w:t>resources</w:t>
      </w:r>
      <w:r w:rsidRPr="00B71A34">
        <w:t>;</w:t>
      </w:r>
      <w:r w:rsidR="004973AB" w:rsidRPr="00B71A34">
        <w:t xml:space="preserve"> and</w:t>
      </w:r>
    </w:p>
    <w:p w14:paraId="2ACECB29" w14:textId="77777777" w:rsidR="002510C9" w:rsidRDefault="00A614F5" w:rsidP="002510C9">
      <w:pPr>
        <w:pStyle w:val="ListParagraph"/>
        <w:numPr>
          <w:ilvl w:val="0"/>
          <w:numId w:val="2"/>
        </w:numPr>
      </w:pPr>
      <w:r w:rsidRPr="00B71A34">
        <w:t>Commit to engaging in program evaluation and a learnin</w:t>
      </w:r>
      <w:r w:rsidR="002510C9">
        <w:t xml:space="preserve">g community with other grantees. </w:t>
      </w:r>
      <w:r w:rsidR="002510C9" w:rsidRPr="0083686F">
        <w:t xml:space="preserve"> </w:t>
      </w:r>
    </w:p>
    <w:p w14:paraId="7BE0B66E" w14:textId="17913489" w:rsidR="005E6348" w:rsidRPr="00B71A34" w:rsidRDefault="00526FEF" w:rsidP="00912683">
      <w:pPr>
        <w:pStyle w:val="Heading2"/>
      </w:pPr>
      <w:bookmarkStart w:id="2" w:name="_Toc434571635"/>
      <w:r w:rsidRPr="00B71A34">
        <w:t>Eligibility</w:t>
      </w:r>
      <w:bookmarkEnd w:id="2"/>
      <w:r w:rsidRPr="00B71A34">
        <w:t xml:space="preserve"> </w:t>
      </w:r>
    </w:p>
    <w:p w14:paraId="76C3839B" w14:textId="77777777" w:rsidR="002A3E9E" w:rsidRDefault="009B664B" w:rsidP="00FA6C42">
      <w:pPr>
        <w:spacing w:after="0"/>
      </w:pPr>
      <w:r w:rsidRPr="00B71A34">
        <w:t>Applications will be accepted from:</w:t>
      </w:r>
    </w:p>
    <w:p w14:paraId="459CD602" w14:textId="77777777" w:rsidR="00AA0DA0" w:rsidRDefault="00AA0DA0" w:rsidP="00FA6C42">
      <w:pPr>
        <w:spacing w:after="0"/>
      </w:pPr>
    </w:p>
    <w:p w14:paraId="2CCAD894" w14:textId="77777777" w:rsidR="00AA0DA0" w:rsidRPr="00B71A34" w:rsidRDefault="009B664B" w:rsidP="00BA1D0E">
      <w:pPr>
        <w:pStyle w:val="ListParagraph"/>
        <w:numPr>
          <w:ilvl w:val="0"/>
          <w:numId w:val="25"/>
        </w:numPr>
      </w:pPr>
      <w:r w:rsidRPr="00EA0DC7">
        <w:rPr>
          <w:b/>
        </w:rPr>
        <w:t>California Institutions of Higher Education</w:t>
      </w:r>
      <w:r w:rsidR="00AA0DA0">
        <w:t xml:space="preserve"> accredited by the Western Association of School and </w:t>
      </w:r>
      <w:r w:rsidR="00AA0DA0" w:rsidRPr="00B71A34">
        <w:t xml:space="preserve">Colleges, </w:t>
      </w:r>
      <w:r w:rsidRPr="00B71A34">
        <w:t xml:space="preserve">including </w:t>
      </w:r>
      <w:r w:rsidR="00AA0DA0" w:rsidRPr="00B71A34">
        <w:t xml:space="preserve">public </w:t>
      </w:r>
      <w:r w:rsidR="00C6455A" w:rsidRPr="00B71A34">
        <w:t xml:space="preserve">California </w:t>
      </w:r>
      <w:r w:rsidR="00AA0DA0" w:rsidRPr="00B71A34">
        <w:t>c</w:t>
      </w:r>
      <w:r w:rsidRPr="00B71A34">
        <w:t xml:space="preserve">ommunity </w:t>
      </w:r>
      <w:r w:rsidR="00AA0DA0" w:rsidRPr="00B71A34">
        <w:t>c</w:t>
      </w:r>
      <w:r w:rsidRPr="00B71A34">
        <w:t>olleges</w:t>
      </w:r>
      <w:r w:rsidR="00CA70FA" w:rsidRPr="00B71A34">
        <w:t xml:space="preserve"> or </w:t>
      </w:r>
      <w:r w:rsidR="00AA0DA0" w:rsidRPr="00B71A34">
        <w:t>d</w:t>
      </w:r>
      <w:r w:rsidRPr="00B71A34">
        <w:t>istricts</w:t>
      </w:r>
      <w:r w:rsidR="00AA0DA0" w:rsidRPr="00B71A34">
        <w:t>, public four-year colleges and universities,</w:t>
      </w:r>
      <w:r w:rsidRPr="00B71A34">
        <w:t xml:space="preserve"> and </w:t>
      </w:r>
      <w:r w:rsidR="00AA0DA0" w:rsidRPr="00B71A34">
        <w:t>private</w:t>
      </w:r>
      <w:r w:rsidRPr="00B71A34">
        <w:t xml:space="preserve"> colleges and universities</w:t>
      </w:r>
      <w:r w:rsidR="00AA0DA0" w:rsidRPr="00B71A34">
        <w:t xml:space="preserve"> with 501(c)(3) status</w:t>
      </w:r>
      <w:r w:rsidRPr="00B71A34">
        <w:t>;</w:t>
      </w:r>
      <w:r w:rsidR="005E36D9" w:rsidRPr="00B71A34">
        <w:t xml:space="preserve"> and</w:t>
      </w:r>
    </w:p>
    <w:p w14:paraId="7CE37509" w14:textId="77777777" w:rsidR="002510C9" w:rsidRDefault="00AA0DA0" w:rsidP="00BA1D0E">
      <w:pPr>
        <w:pStyle w:val="ListParagraph"/>
        <w:numPr>
          <w:ilvl w:val="0"/>
          <w:numId w:val="25"/>
        </w:numPr>
      </w:pPr>
      <w:r w:rsidRPr="00B71A34">
        <w:rPr>
          <w:b/>
        </w:rPr>
        <w:lastRenderedPageBreak/>
        <w:t>Community-Based Organizations</w:t>
      </w:r>
      <w:r w:rsidRPr="00B71A34">
        <w:t xml:space="preserve"> with </w:t>
      </w:r>
      <w:r w:rsidR="00BC7AB4" w:rsidRPr="00B71A34">
        <w:t>501(c)(3)</w:t>
      </w:r>
      <w:r w:rsidRPr="00B71A34">
        <w:t xml:space="preserve"> status</w:t>
      </w:r>
      <w:r w:rsidR="006F5FFA" w:rsidRPr="00B71A34">
        <w:t xml:space="preserve"> that are </w:t>
      </w:r>
      <w:r w:rsidR="009D2280">
        <w:t xml:space="preserve">primarily </w:t>
      </w:r>
      <w:r w:rsidR="006F5FFA" w:rsidRPr="00B71A34">
        <w:t xml:space="preserve">dedicated to </w:t>
      </w:r>
      <w:r w:rsidR="009D2280">
        <w:t xml:space="preserve">providing </w:t>
      </w:r>
      <w:r w:rsidR="006F5FFA" w:rsidRPr="00B71A34">
        <w:t>post-secondary education</w:t>
      </w:r>
      <w:r w:rsidR="005E36D9" w:rsidRPr="0083686F">
        <w:t>.</w:t>
      </w:r>
    </w:p>
    <w:p w14:paraId="3D0DE137" w14:textId="77777777" w:rsidR="002510C9" w:rsidRDefault="002510C9" w:rsidP="002510C9">
      <w:pPr>
        <w:pStyle w:val="ListParagraph"/>
      </w:pPr>
    </w:p>
    <w:p w14:paraId="5885DA10" w14:textId="77777777" w:rsidR="002510C9" w:rsidRDefault="002510C9" w:rsidP="002510C9">
      <w:r w:rsidRPr="0083686F">
        <w:t xml:space="preserve">Applicants can propose to build a new program or expand and enhance an existing program. </w:t>
      </w:r>
    </w:p>
    <w:p w14:paraId="220B84E9" w14:textId="22CB43B9" w:rsidR="008B6FCA" w:rsidRPr="00B71A34" w:rsidRDefault="008B6FCA" w:rsidP="00FE61B4">
      <w:r w:rsidRPr="00B71A34">
        <w:rPr>
          <w:b/>
        </w:rPr>
        <w:t>Deadline</w:t>
      </w:r>
      <w:r w:rsidR="00131323" w:rsidRPr="00B71A34">
        <w:rPr>
          <w:b/>
        </w:rPr>
        <w:t>:</w:t>
      </w:r>
      <w:r w:rsidR="00131323" w:rsidRPr="00B71A34">
        <w:rPr>
          <w:i/>
        </w:rPr>
        <w:t xml:space="preserve"> </w:t>
      </w:r>
      <w:r w:rsidR="00FA4DDA" w:rsidRPr="00B71A34">
        <w:t xml:space="preserve">Applications will be accepted until </w:t>
      </w:r>
      <w:r w:rsidR="00B31DD6" w:rsidRPr="00B71A34">
        <w:t>February 1, 2016</w:t>
      </w:r>
      <w:r w:rsidR="003E7512" w:rsidRPr="00B71A34">
        <w:t xml:space="preserve"> at 5:00 pm</w:t>
      </w:r>
      <w:r w:rsidR="009A77DD">
        <w:t>. A non-binding Notice of Intent to Apply should be filed by January 11, 2016 at 5:00 pm.</w:t>
      </w:r>
    </w:p>
    <w:p w14:paraId="2EF6A41B" w14:textId="77777777" w:rsidR="002819A9" w:rsidRPr="00B71A34" w:rsidRDefault="00240D02" w:rsidP="00FE61B4">
      <w:r w:rsidRPr="00B71A34">
        <w:rPr>
          <w:b/>
        </w:rPr>
        <w:t>Frequently Asked Questions (FAQ</w:t>
      </w:r>
      <w:r w:rsidR="0083619B">
        <w:rPr>
          <w:b/>
        </w:rPr>
        <w:t>s</w:t>
      </w:r>
      <w:r w:rsidRPr="00B71A34">
        <w:rPr>
          <w:b/>
        </w:rPr>
        <w:t>)</w:t>
      </w:r>
      <w:r w:rsidR="002B1B35" w:rsidRPr="00B71A34">
        <w:rPr>
          <w:b/>
        </w:rPr>
        <w:t xml:space="preserve">: </w:t>
      </w:r>
      <w:r w:rsidR="002B1B35" w:rsidRPr="00B71A34">
        <w:t>FAQs</w:t>
      </w:r>
      <w:r w:rsidRPr="00B71A34">
        <w:t xml:space="preserve"> related</w:t>
      </w:r>
      <w:r w:rsidR="008173F2" w:rsidRPr="00B71A34">
        <w:t xml:space="preserve"> to this RFP</w:t>
      </w:r>
      <w:r w:rsidR="004F37A1" w:rsidRPr="00B71A34">
        <w:t xml:space="preserve"> are</w:t>
      </w:r>
      <w:r w:rsidR="008173F2" w:rsidRPr="00B71A34">
        <w:t xml:space="preserve"> </w:t>
      </w:r>
      <w:r w:rsidR="006F5FFA" w:rsidRPr="0083686F">
        <w:t xml:space="preserve">included at the end of this RFP. </w:t>
      </w:r>
    </w:p>
    <w:p w14:paraId="470261E5" w14:textId="4F914D72" w:rsidR="00C0497A" w:rsidRDefault="002819A9" w:rsidP="00FE61B4">
      <w:r w:rsidRPr="00B71A34">
        <w:rPr>
          <w:b/>
        </w:rPr>
        <w:t>Contact Information</w:t>
      </w:r>
      <w:r w:rsidRPr="00B71A34">
        <w:t xml:space="preserve">: </w:t>
      </w:r>
      <w:r w:rsidR="00240D02" w:rsidRPr="00B71A34">
        <w:t>P</w:t>
      </w:r>
      <w:r w:rsidR="003E7512" w:rsidRPr="00B71A34">
        <w:t xml:space="preserve">lease direct all questions pertaining to this RFP </w:t>
      </w:r>
      <w:r w:rsidR="00240D02" w:rsidRPr="00B71A34">
        <w:t xml:space="preserve">by </w:t>
      </w:r>
      <w:r w:rsidR="002A3E9E">
        <w:t xml:space="preserve">Friday, December 4, 2015 </w:t>
      </w:r>
      <w:r w:rsidR="008173F2" w:rsidRPr="00B71A34">
        <w:t>to</w:t>
      </w:r>
      <w:r w:rsidR="005E6348" w:rsidRPr="00B71A34">
        <w:t xml:space="preserve"> </w:t>
      </w:r>
      <w:hyperlink r:id="rId8" w:history="1">
        <w:r w:rsidR="002A3E9E" w:rsidRPr="00A1266A">
          <w:rPr>
            <w:rStyle w:val="Hyperlink"/>
          </w:rPr>
          <w:t>laura@theopportunityinstitute.org</w:t>
        </w:r>
      </w:hyperlink>
      <w:r w:rsidR="002A3E9E">
        <w:t>. Updated FAQs will be posted in response to the questions</w:t>
      </w:r>
      <w:r w:rsidR="00711269">
        <w:t xml:space="preserve"> on The Opportunity Institute website (</w:t>
      </w:r>
      <w:r w:rsidR="00711269" w:rsidRPr="00912269">
        <w:t>http://theopportunityinstitute.org/</w:t>
      </w:r>
      <w:r w:rsidR="00711269">
        <w:t>)</w:t>
      </w:r>
      <w:r w:rsidR="002A3E9E">
        <w:t xml:space="preserve">. Questions will also be </w:t>
      </w:r>
      <w:r w:rsidR="00012201">
        <w:t xml:space="preserve">addressed </w:t>
      </w:r>
      <w:r w:rsidR="002A3E9E">
        <w:t>in a webinar on</w:t>
      </w:r>
      <w:r w:rsidR="00C0497A">
        <w:t xml:space="preserve"> Friday morning, December 11, 2015.</w:t>
      </w:r>
    </w:p>
    <w:p w14:paraId="41726FF9" w14:textId="77777777" w:rsidR="004A586A" w:rsidRDefault="003E7512" w:rsidP="00FE61B4">
      <w:r>
        <w:t xml:space="preserve"> </w:t>
      </w:r>
    </w:p>
    <w:p w14:paraId="5E3E7EDE" w14:textId="77777777" w:rsidR="00B90ABF" w:rsidRDefault="00B90ABF">
      <w:pPr>
        <w:rPr>
          <w:rFonts w:asciiTheme="majorHAnsi" w:eastAsiaTheme="majorEastAsia" w:hAnsiTheme="majorHAnsi" w:cstheme="majorBidi"/>
          <w:b/>
          <w:bCs/>
          <w:color w:val="345A8A" w:themeColor="accent1" w:themeShade="B5"/>
          <w:sz w:val="32"/>
          <w:szCs w:val="32"/>
        </w:rPr>
      </w:pPr>
      <w:r>
        <w:br w:type="page"/>
      </w:r>
    </w:p>
    <w:p w14:paraId="7AE0B93F" w14:textId="0B608ED7" w:rsidR="00B90ABF" w:rsidRDefault="00EB7624" w:rsidP="00912683">
      <w:pPr>
        <w:pStyle w:val="Heading1"/>
      </w:pPr>
      <w:bookmarkStart w:id="3" w:name="_Toc434571636"/>
      <w:r>
        <w:lastRenderedPageBreak/>
        <w:t>II</w:t>
      </w:r>
      <w:r w:rsidR="003B4E7A" w:rsidRPr="003B4E7A">
        <w:t xml:space="preserve">. </w:t>
      </w:r>
      <w:r w:rsidR="00F737F7">
        <w:t>Background on the Renewing Communities Initiative</w:t>
      </w:r>
      <w:bookmarkEnd w:id="3"/>
    </w:p>
    <w:p w14:paraId="1A2FA258" w14:textId="2A0518C6" w:rsidR="002A3E9E" w:rsidRDefault="007D34BC" w:rsidP="004D405A">
      <w:r>
        <w:t>The Renewing Communities Initiative i</w:t>
      </w:r>
      <w:r w:rsidR="008500A9">
        <w:t xml:space="preserve">n California is part of a larger </w:t>
      </w:r>
      <w:r w:rsidR="00476443">
        <w:t>effort</w:t>
      </w:r>
      <w:r w:rsidR="008500A9">
        <w:t xml:space="preserve"> to improve access to college education for criminal justice-involved students across the country</w:t>
      </w:r>
      <w:r w:rsidR="002A3E9E">
        <w:t>, and to bring the criminal justice and higher education systems together</w:t>
      </w:r>
      <w:r w:rsidR="009A3EA8">
        <w:t xml:space="preserve"> to work towards common goals</w:t>
      </w:r>
      <w:r w:rsidR="008500A9">
        <w:t xml:space="preserve">. </w:t>
      </w:r>
      <w:r w:rsidR="0008187C">
        <w:t>The Pathways from Prison to Po</w:t>
      </w:r>
      <w:r w:rsidR="00E7798A">
        <w:t>stsecondary Education Project –</w:t>
      </w:r>
      <w:r w:rsidR="001347E9">
        <w:t xml:space="preserve"> led by</w:t>
      </w:r>
      <w:r w:rsidR="0008187C">
        <w:t xml:space="preserve"> the Vera Institute for Justice</w:t>
      </w:r>
      <w:r w:rsidR="00E7798A">
        <w:t xml:space="preserve"> with funding from</w:t>
      </w:r>
      <w:r w:rsidR="00B72C4E">
        <w:t xml:space="preserve"> five national foundations</w:t>
      </w:r>
      <w:r w:rsidR="004D405A">
        <w:t xml:space="preserve"> </w:t>
      </w:r>
      <w:r w:rsidR="00E7798A">
        <w:t>–</w:t>
      </w:r>
      <w:r w:rsidR="0008187C">
        <w:t xml:space="preserve"> has funded prison-based college programs in Michigan,</w:t>
      </w:r>
      <w:r w:rsidR="005E6348">
        <w:t xml:space="preserve"> New Jersey, and North Carolina</w:t>
      </w:r>
      <w:r w:rsidR="009803A2">
        <w:t>.</w:t>
      </w:r>
      <w:r w:rsidR="002A3E9E">
        <w:t xml:space="preserve"> Renewing Communities expands upon the Pathways Projec</w:t>
      </w:r>
      <w:r w:rsidR="00C0497A">
        <w:t>t and brings the initiative to California.</w:t>
      </w:r>
    </w:p>
    <w:p w14:paraId="3073D892" w14:textId="77777777" w:rsidR="008500A9" w:rsidRDefault="007A39E8" w:rsidP="004D405A">
      <w:r>
        <w:t xml:space="preserve">Renewing Communities, which was </w:t>
      </w:r>
      <w:r w:rsidRPr="00BA66A4">
        <w:t>initia</w:t>
      </w:r>
      <w:r w:rsidR="002A3E9E">
        <w:t>ted in early 2014, advances the Pathways</w:t>
      </w:r>
      <w:r w:rsidRPr="00BA66A4">
        <w:t xml:space="preserve"> strategy by building a bridge between California’s higher education and criminal justice systems for the benefit of criminal justice-involved individuals and their greater communities statewide.</w:t>
      </w:r>
      <w:r>
        <w:t xml:space="preserve"> </w:t>
      </w:r>
    </w:p>
    <w:p w14:paraId="67482145" w14:textId="77777777" w:rsidR="002A3E9E" w:rsidRDefault="003B4E7A" w:rsidP="001326C0">
      <w:pPr>
        <w:spacing w:after="0"/>
      </w:pPr>
      <w:r w:rsidRPr="00BA66A4">
        <w:t xml:space="preserve">The goals of the </w:t>
      </w:r>
      <w:r w:rsidRPr="00834455">
        <w:rPr>
          <w:iCs/>
        </w:rPr>
        <w:t>Renewing Communities</w:t>
      </w:r>
      <w:r w:rsidRPr="00F5208C">
        <w:rPr>
          <w:i/>
          <w:iCs/>
        </w:rPr>
        <w:t xml:space="preserve"> </w:t>
      </w:r>
      <w:r w:rsidR="0030401A">
        <w:t>I</w:t>
      </w:r>
      <w:r w:rsidRPr="00BA66A4">
        <w:t>nitiative are to:</w:t>
      </w:r>
    </w:p>
    <w:p w14:paraId="553131CD" w14:textId="77777777" w:rsidR="003B4E7A" w:rsidRPr="00BA66A4" w:rsidRDefault="003B4E7A" w:rsidP="001326C0">
      <w:pPr>
        <w:spacing w:after="0"/>
      </w:pPr>
    </w:p>
    <w:p w14:paraId="5B50683A" w14:textId="77777777" w:rsidR="003B4E7A" w:rsidRPr="00BA66A4" w:rsidRDefault="003B4E7A" w:rsidP="00F5208C">
      <w:pPr>
        <w:pStyle w:val="ListParagraph"/>
        <w:numPr>
          <w:ilvl w:val="3"/>
          <w:numId w:val="3"/>
        </w:numPr>
        <w:ind w:left="720"/>
      </w:pPr>
      <w:r w:rsidRPr="00BA66A4">
        <w:t>Develop and foster high-quality programs that will expand higher education opportunities</w:t>
      </w:r>
      <w:r w:rsidR="002A3E9E">
        <w:t xml:space="preserve"> </w:t>
      </w:r>
      <w:r w:rsidRPr="00BA66A4">
        <w:t xml:space="preserve">for incarcerated and formerly incarcerated individuals; </w:t>
      </w:r>
    </w:p>
    <w:p w14:paraId="36BB6258" w14:textId="77777777" w:rsidR="003B4E7A" w:rsidRPr="00BA66A4" w:rsidRDefault="003B4E7A" w:rsidP="00F5208C">
      <w:pPr>
        <w:pStyle w:val="ListParagraph"/>
        <w:numPr>
          <w:ilvl w:val="3"/>
          <w:numId w:val="3"/>
        </w:numPr>
        <w:ind w:left="720"/>
      </w:pPr>
      <w:r w:rsidRPr="00BA66A4">
        <w:t xml:space="preserve">Create partnerships between custodial institutions, local education institutions, criminal justice agencies, and community-based organizations; </w:t>
      </w:r>
    </w:p>
    <w:p w14:paraId="4DB8ABAD" w14:textId="77777777" w:rsidR="003B4E7A" w:rsidRPr="00BA66A4" w:rsidRDefault="003B4E7A" w:rsidP="00F5208C">
      <w:pPr>
        <w:pStyle w:val="ListParagraph"/>
        <w:numPr>
          <w:ilvl w:val="3"/>
          <w:numId w:val="3"/>
        </w:numPr>
        <w:ind w:left="720"/>
      </w:pPr>
      <w:r w:rsidRPr="00BA66A4">
        <w:t xml:space="preserve">Support educators and educational institutions in their use of best practices to achieve academic success for </w:t>
      </w:r>
      <w:r w:rsidR="005E6348">
        <w:t>currently and formerly incarcerated students in California</w:t>
      </w:r>
      <w:r w:rsidRPr="00BA66A4">
        <w:t xml:space="preserve">; and </w:t>
      </w:r>
    </w:p>
    <w:p w14:paraId="409EE04B" w14:textId="77777777" w:rsidR="003B4E7A" w:rsidRDefault="003B4E7A" w:rsidP="001326C0">
      <w:pPr>
        <w:pStyle w:val="ListParagraph"/>
        <w:numPr>
          <w:ilvl w:val="3"/>
          <w:numId w:val="3"/>
        </w:numPr>
        <w:ind w:left="720"/>
      </w:pPr>
      <w:r w:rsidRPr="00BA66A4">
        <w:t>Create a sustainable model for long-term positive systemic change</w:t>
      </w:r>
      <w:r w:rsidR="00C0497A">
        <w:t xml:space="preserve"> and program expansion</w:t>
      </w:r>
      <w:r w:rsidRPr="00BA66A4">
        <w:t xml:space="preserve"> that does not rely solely on private funding. </w:t>
      </w:r>
    </w:p>
    <w:p w14:paraId="2A0F6BEC" w14:textId="77777777" w:rsidR="002363A8" w:rsidRDefault="002363A8">
      <w:pPr>
        <w:rPr>
          <w:b/>
          <w:sz w:val="26"/>
          <w:szCs w:val="26"/>
        </w:rPr>
      </w:pPr>
      <w:r>
        <w:rPr>
          <w:b/>
          <w:sz w:val="26"/>
          <w:szCs w:val="26"/>
        </w:rPr>
        <w:br w:type="page"/>
      </w:r>
    </w:p>
    <w:p w14:paraId="0F90A7A9" w14:textId="5A1119AE" w:rsidR="00AE0BA3" w:rsidRPr="00AE0BA3" w:rsidRDefault="00EB7624" w:rsidP="00912683">
      <w:pPr>
        <w:pStyle w:val="Heading1"/>
      </w:pPr>
      <w:bookmarkStart w:id="4" w:name="_Toc434571637"/>
      <w:r>
        <w:lastRenderedPageBreak/>
        <w:t>III</w:t>
      </w:r>
      <w:r w:rsidR="005E6987" w:rsidRPr="005E6987">
        <w:t xml:space="preserve">. Project </w:t>
      </w:r>
      <w:r w:rsidR="00F31B22">
        <w:t>Scope</w:t>
      </w:r>
      <w:r w:rsidR="005E6987" w:rsidRPr="005E6987">
        <w:t xml:space="preserve"> and Requirements</w:t>
      </w:r>
      <w:bookmarkEnd w:id="4"/>
    </w:p>
    <w:p w14:paraId="5F52A970" w14:textId="77777777" w:rsidR="007139C6" w:rsidRPr="00622081" w:rsidRDefault="00622081" w:rsidP="00287363">
      <w:r>
        <w:t>The following tabl</w:t>
      </w:r>
      <w:r w:rsidR="003F4D69">
        <w:t>e presents the requirements for</w:t>
      </w:r>
      <w:r>
        <w:t xml:space="preserve"> programs based in state prisons, county jails, and the community. Many requirements apply to all three </w:t>
      </w:r>
      <w:r w:rsidR="00C27672">
        <w:t>program types</w:t>
      </w:r>
      <w:r>
        <w:t xml:space="preserve">, but some are unique to a particular context. </w:t>
      </w:r>
      <w:r w:rsidR="00DB7E49">
        <w:t>Descriptions of each of these requirements</w:t>
      </w:r>
      <w:r w:rsidR="00C12363">
        <w:t xml:space="preserve"> follow in the next section. F</w:t>
      </w:r>
      <w:r>
        <w:t xml:space="preserve">urther details can be found in the referenced pages of </w:t>
      </w:r>
      <w:r w:rsidRPr="00FE61B4">
        <w:rPr>
          <w:i/>
        </w:rPr>
        <w:t>Degrees of Freedom: Expanding College Opportunities for Currently and Formerly Incarcerated Californians</w:t>
      </w:r>
      <w:r w:rsidR="002A3E9E">
        <w:t xml:space="preserve"> and in the FAQ</w:t>
      </w:r>
      <w:r w:rsidR="00FD49B6">
        <w:t>s</w:t>
      </w:r>
      <w:r w:rsidR="002A3E9E">
        <w:t xml:space="preserve"> at the end of this RFP</w:t>
      </w:r>
      <w:r>
        <w:rPr>
          <w:i/>
        </w:rPr>
        <w:t>.</w:t>
      </w:r>
    </w:p>
    <w:tbl>
      <w:tblPr>
        <w:tblStyle w:val="TableGrid"/>
        <w:tblW w:w="5000" w:type="pct"/>
        <w:tblLook w:val="04A0" w:firstRow="1" w:lastRow="0" w:firstColumn="1" w:lastColumn="0" w:noHBand="0" w:noVBand="1"/>
      </w:tblPr>
      <w:tblGrid>
        <w:gridCol w:w="4788"/>
        <w:gridCol w:w="990"/>
        <w:gridCol w:w="1040"/>
        <w:gridCol w:w="1256"/>
        <w:gridCol w:w="1502"/>
      </w:tblGrid>
      <w:tr w:rsidR="00F64614" w:rsidRPr="00375334" w14:paraId="38E8C2A8" w14:textId="77777777" w:rsidTr="00F64614">
        <w:tc>
          <w:tcPr>
            <w:tcW w:w="2500" w:type="pct"/>
            <w:tcBorders>
              <w:bottom w:val="single" w:sz="4" w:space="0" w:color="auto"/>
            </w:tcBorders>
            <w:vAlign w:val="bottom"/>
          </w:tcPr>
          <w:p w14:paraId="013B10D2" w14:textId="77777777" w:rsidR="005A7939" w:rsidRPr="00375334" w:rsidRDefault="005A7939" w:rsidP="00622081">
            <w:pPr>
              <w:jc w:val="center"/>
            </w:pPr>
          </w:p>
        </w:tc>
        <w:tc>
          <w:tcPr>
            <w:tcW w:w="517" w:type="pct"/>
            <w:tcBorders>
              <w:bottom w:val="single" w:sz="4" w:space="0" w:color="auto"/>
            </w:tcBorders>
            <w:vAlign w:val="bottom"/>
          </w:tcPr>
          <w:p w14:paraId="520107AD" w14:textId="77777777" w:rsidR="005A7939" w:rsidRPr="00375334" w:rsidRDefault="005A7939" w:rsidP="00622081">
            <w:pPr>
              <w:jc w:val="center"/>
            </w:pPr>
            <w:r w:rsidRPr="00375334">
              <w:t>Prison</w:t>
            </w:r>
          </w:p>
        </w:tc>
        <w:tc>
          <w:tcPr>
            <w:tcW w:w="543" w:type="pct"/>
            <w:tcBorders>
              <w:bottom w:val="single" w:sz="4" w:space="0" w:color="auto"/>
            </w:tcBorders>
            <w:vAlign w:val="bottom"/>
          </w:tcPr>
          <w:p w14:paraId="0C906B51" w14:textId="77777777" w:rsidR="005A7939" w:rsidRPr="00375334" w:rsidRDefault="005A7939" w:rsidP="00622081">
            <w:pPr>
              <w:jc w:val="center"/>
            </w:pPr>
            <w:r w:rsidRPr="00375334">
              <w:t>Jail</w:t>
            </w:r>
          </w:p>
        </w:tc>
        <w:tc>
          <w:tcPr>
            <w:tcW w:w="656" w:type="pct"/>
            <w:tcBorders>
              <w:bottom w:val="single" w:sz="4" w:space="0" w:color="auto"/>
            </w:tcBorders>
            <w:vAlign w:val="bottom"/>
          </w:tcPr>
          <w:p w14:paraId="1B71BDD9" w14:textId="77777777" w:rsidR="005A7939" w:rsidRPr="00375334" w:rsidRDefault="005A7939" w:rsidP="00622081">
            <w:pPr>
              <w:jc w:val="center"/>
            </w:pPr>
            <w:r w:rsidRPr="00375334">
              <w:t>Community</w:t>
            </w:r>
          </w:p>
        </w:tc>
        <w:tc>
          <w:tcPr>
            <w:tcW w:w="784" w:type="pct"/>
            <w:tcBorders>
              <w:bottom w:val="single" w:sz="4" w:space="0" w:color="auto"/>
            </w:tcBorders>
            <w:vAlign w:val="bottom"/>
          </w:tcPr>
          <w:p w14:paraId="758CE2E1" w14:textId="77777777" w:rsidR="005A7939" w:rsidRPr="00375334" w:rsidRDefault="00622081" w:rsidP="002510C9">
            <w:pPr>
              <w:jc w:val="center"/>
            </w:pPr>
            <w:r w:rsidRPr="00375334">
              <w:rPr>
                <w:i/>
              </w:rPr>
              <w:t xml:space="preserve">Degrees of Freedom </w:t>
            </w:r>
          </w:p>
        </w:tc>
      </w:tr>
      <w:tr w:rsidR="00F64614" w:rsidRPr="00375334" w14:paraId="37357C2E" w14:textId="77777777" w:rsidTr="00F64614">
        <w:tc>
          <w:tcPr>
            <w:tcW w:w="2500" w:type="pct"/>
            <w:tcBorders>
              <w:right w:val="nil"/>
            </w:tcBorders>
            <w:shd w:val="clear" w:color="auto" w:fill="808080" w:themeFill="background1" w:themeFillShade="80"/>
          </w:tcPr>
          <w:p w14:paraId="548076AE" w14:textId="77777777" w:rsidR="00855F88" w:rsidRPr="00375334" w:rsidRDefault="00855F88" w:rsidP="00EF2A4E">
            <w:pPr>
              <w:rPr>
                <w:color w:val="FFFFFF" w:themeColor="background1"/>
              </w:rPr>
            </w:pPr>
            <w:r w:rsidRPr="00375334">
              <w:rPr>
                <w:color w:val="FFFFFF" w:themeColor="background1"/>
              </w:rPr>
              <w:t>Program Components</w:t>
            </w:r>
          </w:p>
        </w:tc>
        <w:tc>
          <w:tcPr>
            <w:tcW w:w="517" w:type="pct"/>
            <w:tcBorders>
              <w:left w:val="nil"/>
              <w:right w:val="nil"/>
            </w:tcBorders>
            <w:shd w:val="clear" w:color="auto" w:fill="808080" w:themeFill="background1" w:themeFillShade="80"/>
            <w:vAlign w:val="center"/>
          </w:tcPr>
          <w:p w14:paraId="5F55CE45" w14:textId="77777777" w:rsidR="00855F88" w:rsidRPr="00375334" w:rsidRDefault="00855F88" w:rsidP="00034D4F">
            <w:pPr>
              <w:jc w:val="center"/>
            </w:pPr>
          </w:p>
        </w:tc>
        <w:tc>
          <w:tcPr>
            <w:tcW w:w="543" w:type="pct"/>
            <w:tcBorders>
              <w:left w:val="nil"/>
              <w:right w:val="nil"/>
            </w:tcBorders>
            <w:shd w:val="clear" w:color="auto" w:fill="808080" w:themeFill="background1" w:themeFillShade="80"/>
            <w:vAlign w:val="center"/>
          </w:tcPr>
          <w:p w14:paraId="79D71DD5" w14:textId="77777777" w:rsidR="00855F88" w:rsidRPr="00375334" w:rsidRDefault="00855F88" w:rsidP="00034D4F">
            <w:pPr>
              <w:jc w:val="center"/>
            </w:pPr>
          </w:p>
        </w:tc>
        <w:tc>
          <w:tcPr>
            <w:tcW w:w="656" w:type="pct"/>
            <w:tcBorders>
              <w:left w:val="nil"/>
              <w:bottom w:val="single" w:sz="4" w:space="0" w:color="auto"/>
              <w:right w:val="nil"/>
            </w:tcBorders>
            <w:shd w:val="clear" w:color="auto" w:fill="808080" w:themeFill="background1" w:themeFillShade="80"/>
            <w:vAlign w:val="center"/>
          </w:tcPr>
          <w:p w14:paraId="4CA05C61" w14:textId="77777777" w:rsidR="00855F88" w:rsidRPr="00375334" w:rsidRDefault="00855F88" w:rsidP="00034D4F">
            <w:pPr>
              <w:jc w:val="center"/>
            </w:pPr>
          </w:p>
        </w:tc>
        <w:tc>
          <w:tcPr>
            <w:tcW w:w="784" w:type="pct"/>
            <w:tcBorders>
              <w:left w:val="nil"/>
            </w:tcBorders>
            <w:shd w:val="clear" w:color="auto" w:fill="808080" w:themeFill="background1" w:themeFillShade="80"/>
            <w:vAlign w:val="center"/>
          </w:tcPr>
          <w:p w14:paraId="3F04D393" w14:textId="77777777" w:rsidR="00855F88" w:rsidRPr="00375334" w:rsidRDefault="00855F88" w:rsidP="005A7939">
            <w:pPr>
              <w:jc w:val="center"/>
            </w:pPr>
          </w:p>
        </w:tc>
      </w:tr>
      <w:tr w:rsidR="00F64614" w:rsidRPr="00375334" w14:paraId="56E8DD6E" w14:textId="77777777" w:rsidTr="00375334">
        <w:tc>
          <w:tcPr>
            <w:tcW w:w="2500" w:type="pct"/>
          </w:tcPr>
          <w:p w14:paraId="19E9B905" w14:textId="77777777" w:rsidR="005A7939" w:rsidRPr="00375334" w:rsidRDefault="005A7939" w:rsidP="004F37A1">
            <w:r w:rsidRPr="00375334">
              <w:t xml:space="preserve">Provision of credit-bearing </w:t>
            </w:r>
            <w:r w:rsidR="00DB7E49" w:rsidRPr="00375334">
              <w:t xml:space="preserve">college </w:t>
            </w:r>
            <w:r w:rsidRPr="00375334">
              <w:t>courses that build to credentials</w:t>
            </w:r>
            <w:r w:rsidR="00C12363" w:rsidRPr="00375334">
              <w:t xml:space="preserve"> and degrees</w:t>
            </w:r>
            <w:r w:rsidRPr="00375334">
              <w:t xml:space="preserve"> </w:t>
            </w:r>
          </w:p>
        </w:tc>
        <w:tc>
          <w:tcPr>
            <w:tcW w:w="517" w:type="pct"/>
            <w:tcBorders>
              <w:bottom w:val="single" w:sz="4" w:space="0" w:color="auto"/>
            </w:tcBorders>
            <w:vAlign w:val="center"/>
          </w:tcPr>
          <w:p w14:paraId="366BB328" w14:textId="74CD7DB7" w:rsidR="005A7939" w:rsidRPr="00375334" w:rsidRDefault="00FC4875" w:rsidP="00034D4F">
            <w:pPr>
              <w:jc w:val="center"/>
              <w:rPr>
                <w:rFonts w:cs="Times New Roman"/>
                <w:b/>
                <w:sz w:val="24"/>
                <w:szCs w:val="24"/>
              </w:rPr>
            </w:pPr>
            <w:r w:rsidRPr="00375334">
              <w:rPr>
                <w:rFonts w:cs="Times New Roman"/>
                <w:b/>
                <w:sz w:val="24"/>
                <w:szCs w:val="24"/>
              </w:rPr>
              <w:sym w:font="Wingdings 2" w:char="F050"/>
            </w:r>
          </w:p>
        </w:tc>
        <w:tc>
          <w:tcPr>
            <w:tcW w:w="543" w:type="pct"/>
            <w:tcBorders>
              <w:bottom w:val="single" w:sz="4" w:space="0" w:color="auto"/>
            </w:tcBorders>
            <w:vAlign w:val="center"/>
          </w:tcPr>
          <w:p w14:paraId="5CC4E42A" w14:textId="565C1D7A" w:rsidR="005A7939" w:rsidRPr="00375334" w:rsidRDefault="00B77948" w:rsidP="00B77948">
            <w:pPr>
              <w:jc w:val="center"/>
              <w:rPr>
                <w:sz w:val="24"/>
                <w:szCs w:val="24"/>
              </w:rPr>
            </w:pPr>
            <w:r w:rsidRPr="00375334">
              <w:rPr>
                <w:b/>
                <w:sz w:val="24"/>
                <w:szCs w:val="24"/>
              </w:rPr>
              <w:sym w:font="Wingdings 2" w:char="F050"/>
            </w:r>
            <w:r w:rsidRPr="00375334">
              <w:rPr>
                <w:rStyle w:val="FootnoteReference"/>
                <w:rFonts w:cs="Times New Roman"/>
                <w:sz w:val="24"/>
                <w:szCs w:val="24"/>
              </w:rPr>
              <w:footnoteReference w:id="1"/>
            </w:r>
          </w:p>
        </w:tc>
        <w:tc>
          <w:tcPr>
            <w:tcW w:w="656" w:type="pct"/>
            <w:vAlign w:val="center"/>
          </w:tcPr>
          <w:p w14:paraId="087208E9" w14:textId="5A200DC1" w:rsidR="005A7939" w:rsidRPr="00435726" w:rsidRDefault="00375334" w:rsidP="00375334">
            <w:pPr>
              <w:jc w:val="center"/>
              <w:rPr>
                <w:b/>
                <w:sz w:val="24"/>
                <w:szCs w:val="24"/>
              </w:rPr>
            </w:pPr>
            <w:r w:rsidRPr="00C02723">
              <w:rPr>
                <w:b/>
                <w:sz w:val="32"/>
                <w:szCs w:val="24"/>
              </w:rPr>
              <w:sym w:font="Wingdings 2" w:char="F04F"/>
            </w:r>
          </w:p>
        </w:tc>
        <w:tc>
          <w:tcPr>
            <w:tcW w:w="784" w:type="pct"/>
            <w:vAlign w:val="center"/>
          </w:tcPr>
          <w:p w14:paraId="19CC8A78" w14:textId="3BE251C8" w:rsidR="005A7939" w:rsidRPr="00375334" w:rsidRDefault="00610E05" w:rsidP="005A7939">
            <w:pPr>
              <w:jc w:val="center"/>
            </w:pPr>
            <w:r>
              <w:t>pp.58</w:t>
            </w:r>
            <w:r w:rsidR="00DE1C13" w:rsidRPr="00375334">
              <w:t>-</w:t>
            </w:r>
            <w:r w:rsidR="00B25B90" w:rsidRPr="00375334">
              <w:t>5</w:t>
            </w:r>
            <w:r w:rsidR="00DE1C13" w:rsidRPr="00375334">
              <w:t>9</w:t>
            </w:r>
          </w:p>
        </w:tc>
      </w:tr>
      <w:tr w:rsidR="00F64614" w:rsidRPr="00375334" w14:paraId="1D27EC7E" w14:textId="77777777" w:rsidTr="00375334">
        <w:tc>
          <w:tcPr>
            <w:tcW w:w="2500" w:type="pct"/>
          </w:tcPr>
          <w:p w14:paraId="3E83BBDF" w14:textId="77777777" w:rsidR="00C814F8" w:rsidRPr="00375334" w:rsidRDefault="00C814F8" w:rsidP="003746B4">
            <w:r w:rsidRPr="00375334">
              <w:t>Structure</w:t>
            </w:r>
            <w:r w:rsidR="00C0497A" w:rsidRPr="00375334">
              <w:t>d</w:t>
            </w:r>
            <w:r w:rsidRPr="00375334">
              <w:t xml:space="preserve"> support </w:t>
            </w:r>
            <w:r w:rsidR="003746B4" w:rsidRPr="00375334">
              <w:t>to keep students</w:t>
            </w:r>
            <w:r w:rsidRPr="00375334">
              <w:t xml:space="preserve"> on a pathway to credentials and degrees</w:t>
            </w:r>
          </w:p>
        </w:tc>
        <w:tc>
          <w:tcPr>
            <w:tcW w:w="517" w:type="pct"/>
            <w:vAlign w:val="center"/>
          </w:tcPr>
          <w:p w14:paraId="5ECB3DF7" w14:textId="341263E3" w:rsidR="00C814F8" w:rsidRPr="00C02723" w:rsidRDefault="00375334" w:rsidP="00034D4F">
            <w:pPr>
              <w:jc w:val="center"/>
              <w:rPr>
                <w:b/>
                <w:sz w:val="32"/>
                <w:szCs w:val="24"/>
              </w:rPr>
            </w:pPr>
            <w:r w:rsidRPr="00C02723">
              <w:rPr>
                <w:b/>
                <w:sz w:val="32"/>
                <w:szCs w:val="24"/>
              </w:rPr>
              <w:sym w:font="Wingdings 2" w:char="F04F"/>
            </w:r>
          </w:p>
        </w:tc>
        <w:tc>
          <w:tcPr>
            <w:tcW w:w="543" w:type="pct"/>
            <w:vAlign w:val="center"/>
          </w:tcPr>
          <w:p w14:paraId="36151269" w14:textId="08571207" w:rsidR="00C814F8" w:rsidRPr="00C02723" w:rsidRDefault="00375334" w:rsidP="002363A8">
            <w:pPr>
              <w:jc w:val="center"/>
              <w:rPr>
                <w:b/>
                <w:sz w:val="32"/>
                <w:szCs w:val="24"/>
              </w:rPr>
            </w:pPr>
            <w:r w:rsidRPr="00C02723">
              <w:rPr>
                <w:b/>
                <w:sz w:val="32"/>
                <w:szCs w:val="24"/>
              </w:rPr>
              <w:sym w:font="Wingdings 2" w:char="F04F"/>
            </w:r>
          </w:p>
        </w:tc>
        <w:tc>
          <w:tcPr>
            <w:tcW w:w="656" w:type="pct"/>
            <w:vAlign w:val="center"/>
          </w:tcPr>
          <w:p w14:paraId="61700C47" w14:textId="42E7954F" w:rsidR="00C814F8" w:rsidRPr="00435726" w:rsidDel="00C814F8" w:rsidRDefault="00375334" w:rsidP="00034D4F">
            <w:pPr>
              <w:jc w:val="center"/>
              <w:rPr>
                <w:b/>
                <w:sz w:val="24"/>
                <w:szCs w:val="24"/>
              </w:rPr>
            </w:pPr>
            <w:r w:rsidRPr="00435726">
              <w:rPr>
                <w:b/>
                <w:sz w:val="24"/>
                <w:szCs w:val="24"/>
              </w:rPr>
              <w:sym w:font="Wingdings 2" w:char="F050"/>
            </w:r>
          </w:p>
        </w:tc>
        <w:tc>
          <w:tcPr>
            <w:tcW w:w="784" w:type="pct"/>
            <w:vAlign w:val="center"/>
          </w:tcPr>
          <w:p w14:paraId="2293DA3C" w14:textId="77777777" w:rsidR="00C814F8" w:rsidRPr="00375334" w:rsidRDefault="00B25B90" w:rsidP="005A7939">
            <w:pPr>
              <w:jc w:val="center"/>
            </w:pPr>
            <w:r w:rsidRPr="00375334">
              <w:t>p.61-62</w:t>
            </w:r>
          </w:p>
        </w:tc>
      </w:tr>
      <w:tr w:rsidR="00F64614" w:rsidRPr="00375334" w14:paraId="6BB76D14" w14:textId="77777777" w:rsidTr="00375334">
        <w:tc>
          <w:tcPr>
            <w:tcW w:w="2500" w:type="pct"/>
          </w:tcPr>
          <w:p w14:paraId="1FA85632" w14:textId="77777777" w:rsidR="005A7939" w:rsidRPr="00375334" w:rsidRDefault="005A7939" w:rsidP="00EF2A4E">
            <w:r w:rsidRPr="00375334">
              <w:t>In-person course delivery</w:t>
            </w:r>
            <w:r w:rsidR="00624775" w:rsidRPr="00375334">
              <w:t xml:space="preserve"> only</w:t>
            </w:r>
          </w:p>
        </w:tc>
        <w:tc>
          <w:tcPr>
            <w:tcW w:w="517" w:type="pct"/>
            <w:vAlign w:val="center"/>
          </w:tcPr>
          <w:p w14:paraId="17FF8D64" w14:textId="408ED5C1" w:rsidR="005A7939" w:rsidRPr="00435726" w:rsidRDefault="00375334" w:rsidP="00034D4F">
            <w:pPr>
              <w:jc w:val="center"/>
              <w:rPr>
                <w:b/>
                <w:sz w:val="24"/>
                <w:szCs w:val="24"/>
              </w:rPr>
            </w:pPr>
            <w:r w:rsidRPr="00C02723">
              <w:rPr>
                <w:b/>
                <w:sz w:val="32"/>
                <w:szCs w:val="24"/>
              </w:rPr>
              <w:sym w:font="Wingdings 2" w:char="F04F"/>
            </w:r>
          </w:p>
        </w:tc>
        <w:tc>
          <w:tcPr>
            <w:tcW w:w="543" w:type="pct"/>
            <w:vAlign w:val="center"/>
          </w:tcPr>
          <w:p w14:paraId="41DFE4E8" w14:textId="382428BB" w:rsidR="005A7939" w:rsidRPr="00435726" w:rsidRDefault="00375334" w:rsidP="00034D4F">
            <w:pPr>
              <w:jc w:val="center"/>
              <w:rPr>
                <w:b/>
                <w:sz w:val="24"/>
                <w:szCs w:val="24"/>
              </w:rPr>
            </w:pPr>
            <w:r w:rsidRPr="00435726">
              <w:rPr>
                <w:b/>
                <w:sz w:val="24"/>
                <w:szCs w:val="24"/>
              </w:rPr>
              <w:sym w:font="Wingdings 2" w:char="F050"/>
            </w:r>
          </w:p>
        </w:tc>
        <w:tc>
          <w:tcPr>
            <w:tcW w:w="656" w:type="pct"/>
            <w:vAlign w:val="center"/>
          </w:tcPr>
          <w:p w14:paraId="455D7F3C" w14:textId="274B3124" w:rsidR="005A7939" w:rsidRPr="00435726" w:rsidRDefault="00375334" w:rsidP="00034D4F">
            <w:pPr>
              <w:jc w:val="center"/>
              <w:rPr>
                <w:b/>
                <w:sz w:val="24"/>
                <w:szCs w:val="24"/>
              </w:rPr>
            </w:pPr>
            <w:r w:rsidRPr="00435726">
              <w:rPr>
                <w:b/>
                <w:sz w:val="24"/>
                <w:szCs w:val="24"/>
              </w:rPr>
              <w:sym w:font="Wingdings 2" w:char="F050"/>
            </w:r>
          </w:p>
        </w:tc>
        <w:tc>
          <w:tcPr>
            <w:tcW w:w="784" w:type="pct"/>
            <w:vAlign w:val="center"/>
          </w:tcPr>
          <w:p w14:paraId="2EE6EA4E" w14:textId="77777777" w:rsidR="005A7939" w:rsidRPr="00375334" w:rsidRDefault="00DE1C13" w:rsidP="005A7939">
            <w:pPr>
              <w:jc w:val="center"/>
            </w:pPr>
            <w:r w:rsidRPr="00375334">
              <w:t>p.58</w:t>
            </w:r>
          </w:p>
        </w:tc>
      </w:tr>
      <w:tr w:rsidR="00F64614" w:rsidRPr="00375334" w14:paraId="054EF031" w14:textId="77777777" w:rsidTr="00375334">
        <w:tc>
          <w:tcPr>
            <w:tcW w:w="2500" w:type="pct"/>
          </w:tcPr>
          <w:p w14:paraId="76E081B0" w14:textId="77777777" w:rsidR="005A7939" w:rsidRPr="00375334" w:rsidRDefault="005A7939" w:rsidP="00EF2A4E">
            <w:r w:rsidRPr="00375334">
              <w:t>In-person course delivery and/or interactive distance education</w:t>
            </w:r>
            <w:r w:rsidR="00354128" w:rsidRPr="00375334">
              <w:rPr>
                <w:rStyle w:val="FootnoteReference"/>
              </w:rPr>
              <w:footnoteReference w:id="2"/>
            </w:r>
          </w:p>
        </w:tc>
        <w:tc>
          <w:tcPr>
            <w:tcW w:w="517" w:type="pct"/>
            <w:vAlign w:val="center"/>
          </w:tcPr>
          <w:p w14:paraId="1DDC2CA8" w14:textId="0CEE4517" w:rsidR="005A7939" w:rsidRPr="00435726" w:rsidRDefault="00375334" w:rsidP="00034D4F">
            <w:pPr>
              <w:jc w:val="center"/>
              <w:rPr>
                <w:b/>
                <w:sz w:val="24"/>
                <w:szCs w:val="24"/>
              </w:rPr>
            </w:pPr>
            <w:r w:rsidRPr="00435726">
              <w:rPr>
                <w:b/>
                <w:sz w:val="24"/>
                <w:szCs w:val="24"/>
              </w:rPr>
              <w:sym w:font="Wingdings 2" w:char="F050"/>
            </w:r>
          </w:p>
        </w:tc>
        <w:tc>
          <w:tcPr>
            <w:tcW w:w="543" w:type="pct"/>
            <w:vAlign w:val="center"/>
          </w:tcPr>
          <w:p w14:paraId="22A9FC47" w14:textId="3AB03757" w:rsidR="005A7939" w:rsidRPr="00C02723" w:rsidRDefault="00375334" w:rsidP="00034D4F">
            <w:pPr>
              <w:jc w:val="center"/>
              <w:rPr>
                <w:b/>
                <w:sz w:val="32"/>
                <w:szCs w:val="24"/>
              </w:rPr>
            </w:pPr>
            <w:r w:rsidRPr="00C02723">
              <w:rPr>
                <w:b/>
                <w:sz w:val="32"/>
                <w:szCs w:val="24"/>
              </w:rPr>
              <w:sym w:font="Wingdings 2" w:char="F04F"/>
            </w:r>
          </w:p>
        </w:tc>
        <w:tc>
          <w:tcPr>
            <w:tcW w:w="656" w:type="pct"/>
            <w:vAlign w:val="center"/>
          </w:tcPr>
          <w:p w14:paraId="6E400210" w14:textId="1547E198" w:rsidR="005A7939" w:rsidRPr="00C02723" w:rsidRDefault="00375334" w:rsidP="00034D4F">
            <w:pPr>
              <w:jc w:val="center"/>
              <w:rPr>
                <w:b/>
                <w:sz w:val="32"/>
                <w:szCs w:val="24"/>
              </w:rPr>
            </w:pPr>
            <w:r w:rsidRPr="00C02723">
              <w:rPr>
                <w:b/>
                <w:sz w:val="32"/>
                <w:szCs w:val="24"/>
              </w:rPr>
              <w:sym w:font="Wingdings 2" w:char="F04F"/>
            </w:r>
          </w:p>
        </w:tc>
        <w:tc>
          <w:tcPr>
            <w:tcW w:w="784" w:type="pct"/>
            <w:vAlign w:val="center"/>
          </w:tcPr>
          <w:p w14:paraId="289C0A96" w14:textId="77777777" w:rsidR="005A7939" w:rsidRPr="00375334" w:rsidRDefault="00DE1C13" w:rsidP="005A7939">
            <w:pPr>
              <w:jc w:val="center"/>
            </w:pPr>
            <w:r w:rsidRPr="00375334">
              <w:t>p.58</w:t>
            </w:r>
          </w:p>
        </w:tc>
      </w:tr>
      <w:tr w:rsidR="00F64614" w:rsidRPr="00375334" w14:paraId="7EBE6DA9" w14:textId="77777777" w:rsidTr="00F64614">
        <w:tc>
          <w:tcPr>
            <w:tcW w:w="2500" w:type="pct"/>
          </w:tcPr>
          <w:p w14:paraId="40613728" w14:textId="77777777" w:rsidR="005A7939" w:rsidRPr="00375334" w:rsidRDefault="005A7939" w:rsidP="00EF2A4E">
            <w:r w:rsidRPr="00375334">
              <w:t>Plan for providing academic and non-academic support services</w:t>
            </w:r>
          </w:p>
        </w:tc>
        <w:tc>
          <w:tcPr>
            <w:tcW w:w="517" w:type="pct"/>
            <w:vAlign w:val="center"/>
          </w:tcPr>
          <w:p w14:paraId="6C8DCB93" w14:textId="5EC72F7C" w:rsidR="005A7939" w:rsidRPr="00435726" w:rsidRDefault="00375334" w:rsidP="00034D4F">
            <w:pPr>
              <w:jc w:val="center"/>
              <w:rPr>
                <w:b/>
                <w:sz w:val="24"/>
                <w:szCs w:val="24"/>
              </w:rPr>
            </w:pPr>
            <w:r w:rsidRPr="00435726">
              <w:rPr>
                <w:b/>
                <w:sz w:val="24"/>
                <w:szCs w:val="24"/>
              </w:rPr>
              <w:sym w:font="Wingdings 2" w:char="F050"/>
            </w:r>
          </w:p>
        </w:tc>
        <w:tc>
          <w:tcPr>
            <w:tcW w:w="543" w:type="pct"/>
            <w:vAlign w:val="center"/>
          </w:tcPr>
          <w:p w14:paraId="16C7C2A3" w14:textId="28CB35BA" w:rsidR="005A7939" w:rsidRPr="00435726" w:rsidRDefault="00375334" w:rsidP="00034D4F">
            <w:pPr>
              <w:jc w:val="center"/>
              <w:rPr>
                <w:b/>
                <w:sz w:val="24"/>
                <w:szCs w:val="24"/>
              </w:rPr>
            </w:pPr>
            <w:r w:rsidRPr="00435726">
              <w:rPr>
                <w:b/>
                <w:sz w:val="24"/>
                <w:szCs w:val="24"/>
              </w:rPr>
              <w:sym w:font="Wingdings 2" w:char="F050"/>
            </w:r>
          </w:p>
        </w:tc>
        <w:tc>
          <w:tcPr>
            <w:tcW w:w="656" w:type="pct"/>
            <w:vAlign w:val="center"/>
          </w:tcPr>
          <w:p w14:paraId="0882A0FD" w14:textId="1814D8FB" w:rsidR="005A7939" w:rsidRPr="00435726" w:rsidRDefault="00375334" w:rsidP="00034D4F">
            <w:pPr>
              <w:jc w:val="center"/>
              <w:rPr>
                <w:b/>
                <w:sz w:val="24"/>
                <w:szCs w:val="24"/>
              </w:rPr>
            </w:pPr>
            <w:r w:rsidRPr="00435726">
              <w:rPr>
                <w:b/>
                <w:sz w:val="24"/>
                <w:szCs w:val="24"/>
              </w:rPr>
              <w:sym w:font="Wingdings 2" w:char="F050"/>
            </w:r>
          </w:p>
        </w:tc>
        <w:tc>
          <w:tcPr>
            <w:tcW w:w="784" w:type="pct"/>
            <w:vAlign w:val="center"/>
          </w:tcPr>
          <w:p w14:paraId="1666BF1D" w14:textId="77777777" w:rsidR="005A7939" w:rsidRPr="00375334" w:rsidRDefault="00DE1C13" w:rsidP="005A7939">
            <w:pPr>
              <w:jc w:val="center"/>
            </w:pPr>
            <w:r w:rsidRPr="00375334">
              <w:t>p</w:t>
            </w:r>
            <w:r w:rsidR="00965C88" w:rsidRPr="00375334">
              <w:t>p.</w:t>
            </w:r>
            <w:r w:rsidRPr="00375334">
              <w:t>61-</w:t>
            </w:r>
            <w:r w:rsidR="00B25B90" w:rsidRPr="00375334">
              <w:t>6</w:t>
            </w:r>
            <w:r w:rsidRPr="00375334">
              <w:t>2</w:t>
            </w:r>
          </w:p>
        </w:tc>
      </w:tr>
      <w:tr w:rsidR="00F64614" w:rsidRPr="00375334" w14:paraId="2FBAACB5" w14:textId="77777777" w:rsidTr="00F64614">
        <w:tc>
          <w:tcPr>
            <w:tcW w:w="2500" w:type="pct"/>
          </w:tcPr>
          <w:p w14:paraId="6A81DA16" w14:textId="77777777" w:rsidR="00D179EB" w:rsidRPr="00375334" w:rsidRDefault="00C12363" w:rsidP="00C12363">
            <w:r w:rsidRPr="00375334">
              <w:t>A</w:t>
            </w:r>
            <w:r w:rsidR="00D179EB" w:rsidRPr="00375334">
              <w:t>ssessment and</w:t>
            </w:r>
            <w:r w:rsidRPr="00375334">
              <w:t xml:space="preserve"> a plan for </w:t>
            </w:r>
            <w:r w:rsidR="00D179EB" w:rsidRPr="00375334">
              <w:t xml:space="preserve">college readiness courses where </w:t>
            </w:r>
            <w:r w:rsidR="00E71631" w:rsidRPr="00375334">
              <w:t>needed</w:t>
            </w:r>
          </w:p>
        </w:tc>
        <w:tc>
          <w:tcPr>
            <w:tcW w:w="517" w:type="pct"/>
            <w:vAlign w:val="center"/>
          </w:tcPr>
          <w:p w14:paraId="12987B33" w14:textId="09BBD8C6" w:rsidR="00D179EB" w:rsidRPr="00435726" w:rsidRDefault="00375334" w:rsidP="00034D4F">
            <w:pPr>
              <w:jc w:val="center"/>
              <w:rPr>
                <w:b/>
                <w:sz w:val="24"/>
                <w:szCs w:val="24"/>
              </w:rPr>
            </w:pPr>
            <w:r w:rsidRPr="00435726">
              <w:rPr>
                <w:b/>
                <w:sz w:val="24"/>
                <w:szCs w:val="24"/>
              </w:rPr>
              <w:sym w:font="Wingdings 2" w:char="F050"/>
            </w:r>
          </w:p>
        </w:tc>
        <w:tc>
          <w:tcPr>
            <w:tcW w:w="543" w:type="pct"/>
            <w:vAlign w:val="center"/>
          </w:tcPr>
          <w:p w14:paraId="7EBB1B01" w14:textId="37EF5FA4" w:rsidR="00D179EB" w:rsidRPr="00435726" w:rsidRDefault="00375334" w:rsidP="00034D4F">
            <w:pPr>
              <w:jc w:val="center"/>
              <w:rPr>
                <w:b/>
                <w:sz w:val="24"/>
                <w:szCs w:val="24"/>
              </w:rPr>
            </w:pPr>
            <w:r w:rsidRPr="00435726">
              <w:rPr>
                <w:b/>
                <w:sz w:val="24"/>
                <w:szCs w:val="24"/>
              </w:rPr>
              <w:sym w:font="Wingdings 2" w:char="F050"/>
            </w:r>
          </w:p>
        </w:tc>
        <w:tc>
          <w:tcPr>
            <w:tcW w:w="656" w:type="pct"/>
            <w:vAlign w:val="center"/>
          </w:tcPr>
          <w:p w14:paraId="6B080081" w14:textId="6AD4AE07" w:rsidR="00D179EB" w:rsidRPr="00435726" w:rsidRDefault="00375334" w:rsidP="00034D4F">
            <w:pPr>
              <w:jc w:val="center"/>
              <w:rPr>
                <w:b/>
                <w:sz w:val="24"/>
                <w:szCs w:val="24"/>
              </w:rPr>
            </w:pPr>
            <w:r w:rsidRPr="00435726">
              <w:rPr>
                <w:b/>
                <w:sz w:val="24"/>
                <w:szCs w:val="24"/>
              </w:rPr>
              <w:sym w:font="Wingdings 2" w:char="F050"/>
            </w:r>
          </w:p>
        </w:tc>
        <w:tc>
          <w:tcPr>
            <w:tcW w:w="784" w:type="pct"/>
            <w:vAlign w:val="center"/>
          </w:tcPr>
          <w:p w14:paraId="2D083A8B" w14:textId="77777777" w:rsidR="00D179EB" w:rsidRPr="00375334" w:rsidRDefault="00965C88" w:rsidP="005A7939">
            <w:pPr>
              <w:jc w:val="center"/>
            </w:pPr>
            <w:r w:rsidRPr="00375334">
              <w:t>p.59</w:t>
            </w:r>
          </w:p>
        </w:tc>
      </w:tr>
      <w:tr w:rsidR="00F64614" w:rsidRPr="00375334" w14:paraId="107ED465" w14:textId="77777777" w:rsidTr="00F64614">
        <w:tc>
          <w:tcPr>
            <w:tcW w:w="2500" w:type="pct"/>
            <w:tcBorders>
              <w:bottom w:val="single" w:sz="4" w:space="0" w:color="auto"/>
            </w:tcBorders>
          </w:tcPr>
          <w:p w14:paraId="278056CD" w14:textId="77777777" w:rsidR="005A7939" w:rsidRPr="00375334" w:rsidRDefault="005A7939" w:rsidP="00EF2A4E">
            <w:r w:rsidRPr="00375334">
              <w:t>Plan for developing soft skills</w:t>
            </w:r>
          </w:p>
        </w:tc>
        <w:tc>
          <w:tcPr>
            <w:tcW w:w="517" w:type="pct"/>
            <w:tcBorders>
              <w:bottom w:val="single" w:sz="4" w:space="0" w:color="auto"/>
            </w:tcBorders>
            <w:vAlign w:val="center"/>
          </w:tcPr>
          <w:p w14:paraId="018EAF0C" w14:textId="3D700F63" w:rsidR="005A7939" w:rsidRPr="00435726" w:rsidRDefault="00375334" w:rsidP="00034D4F">
            <w:pPr>
              <w:jc w:val="center"/>
              <w:rPr>
                <w:b/>
                <w:sz w:val="24"/>
              </w:rPr>
            </w:pPr>
            <w:r w:rsidRPr="00435726">
              <w:rPr>
                <w:b/>
                <w:sz w:val="24"/>
                <w:szCs w:val="40"/>
              </w:rPr>
              <w:sym w:font="Wingdings 2" w:char="F050"/>
            </w:r>
          </w:p>
        </w:tc>
        <w:tc>
          <w:tcPr>
            <w:tcW w:w="543" w:type="pct"/>
            <w:tcBorders>
              <w:bottom w:val="single" w:sz="4" w:space="0" w:color="auto"/>
            </w:tcBorders>
            <w:vAlign w:val="center"/>
          </w:tcPr>
          <w:p w14:paraId="59DE1827" w14:textId="37B65C5B" w:rsidR="005A7939" w:rsidRPr="00435726" w:rsidRDefault="00375334" w:rsidP="00034D4F">
            <w:pPr>
              <w:jc w:val="center"/>
              <w:rPr>
                <w:b/>
                <w:sz w:val="24"/>
              </w:rPr>
            </w:pPr>
            <w:r w:rsidRPr="00435726">
              <w:rPr>
                <w:b/>
                <w:sz w:val="24"/>
                <w:szCs w:val="40"/>
              </w:rPr>
              <w:sym w:font="Wingdings 2" w:char="F050"/>
            </w:r>
          </w:p>
        </w:tc>
        <w:tc>
          <w:tcPr>
            <w:tcW w:w="656" w:type="pct"/>
            <w:tcBorders>
              <w:bottom w:val="single" w:sz="4" w:space="0" w:color="auto"/>
            </w:tcBorders>
            <w:vAlign w:val="center"/>
          </w:tcPr>
          <w:p w14:paraId="3851843C" w14:textId="653C9DA4" w:rsidR="005A7939" w:rsidRPr="00435726" w:rsidRDefault="00375334" w:rsidP="00034D4F">
            <w:pPr>
              <w:jc w:val="center"/>
              <w:rPr>
                <w:b/>
                <w:sz w:val="24"/>
              </w:rPr>
            </w:pPr>
            <w:r w:rsidRPr="00435726">
              <w:rPr>
                <w:b/>
                <w:sz w:val="24"/>
                <w:szCs w:val="40"/>
              </w:rPr>
              <w:sym w:font="Wingdings 2" w:char="F050"/>
            </w:r>
          </w:p>
        </w:tc>
        <w:tc>
          <w:tcPr>
            <w:tcW w:w="784" w:type="pct"/>
            <w:tcBorders>
              <w:bottom w:val="single" w:sz="4" w:space="0" w:color="auto"/>
            </w:tcBorders>
            <w:vAlign w:val="center"/>
          </w:tcPr>
          <w:p w14:paraId="2A4ABE9A" w14:textId="77777777" w:rsidR="005A7939" w:rsidRPr="00375334" w:rsidRDefault="00DE1C13" w:rsidP="005A7939">
            <w:pPr>
              <w:jc w:val="center"/>
            </w:pPr>
            <w:r w:rsidRPr="00375334">
              <w:t>pp.59-60</w:t>
            </w:r>
          </w:p>
        </w:tc>
      </w:tr>
      <w:tr w:rsidR="00F64614" w:rsidRPr="00375334" w14:paraId="555B4690" w14:textId="77777777" w:rsidTr="00F64614">
        <w:tc>
          <w:tcPr>
            <w:tcW w:w="2500" w:type="pct"/>
            <w:tcBorders>
              <w:right w:val="nil"/>
            </w:tcBorders>
            <w:shd w:val="clear" w:color="auto" w:fill="808080" w:themeFill="background1" w:themeFillShade="80"/>
          </w:tcPr>
          <w:p w14:paraId="6CA6CDE0" w14:textId="77777777" w:rsidR="00855F88" w:rsidRPr="00375334" w:rsidRDefault="00855F88" w:rsidP="00EF2A4E">
            <w:pPr>
              <w:rPr>
                <w:color w:val="FFFFFF" w:themeColor="background1"/>
              </w:rPr>
            </w:pPr>
            <w:r w:rsidRPr="00375334">
              <w:rPr>
                <w:color w:val="FFFFFF" w:themeColor="background1"/>
              </w:rPr>
              <w:t>Staffing</w:t>
            </w:r>
          </w:p>
        </w:tc>
        <w:tc>
          <w:tcPr>
            <w:tcW w:w="517" w:type="pct"/>
            <w:tcBorders>
              <w:left w:val="nil"/>
              <w:right w:val="nil"/>
            </w:tcBorders>
            <w:shd w:val="clear" w:color="auto" w:fill="808080" w:themeFill="background1" w:themeFillShade="80"/>
            <w:vAlign w:val="center"/>
          </w:tcPr>
          <w:p w14:paraId="56350A80" w14:textId="77777777" w:rsidR="00855F88" w:rsidRPr="00375334" w:rsidRDefault="00855F88" w:rsidP="00034D4F">
            <w:pPr>
              <w:jc w:val="center"/>
              <w:rPr>
                <w:color w:val="FFFFFF" w:themeColor="background1"/>
              </w:rPr>
            </w:pPr>
          </w:p>
        </w:tc>
        <w:tc>
          <w:tcPr>
            <w:tcW w:w="543" w:type="pct"/>
            <w:tcBorders>
              <w:left w:val="nil"/>
              <w:right w:val="nil"/>
            </w:tcBorders>
            <w:shd w:val="clear" w:color="auto" w:fill="808080" w:themeFill="background1" w:themeFillShade="80"/>
            <w:vAlign w:val="center"/>
          </w:tcPr>
          <w:p w14:paraId="4BE0C1B7" w14:textId="77777777" w:rsidR="00855F88" w:rsidRPr="00375334" w:rsidRDefault="00855F88" w:rsidP="00034D4F">
            <w:pPr>
              <w:jc w:val="center"/>
              <w:rPr>
                <w:color w:val="FFFFFF" w:themeColor="background1"/>
              </w:rPr>
            </w:pPr>
          </w:p>
        </w:tc>
        <w:tc>
          <w:tcPr>
            <w:tcW w:w="656" w:type="pct"/>
            <w:tcBorders>
              <w:left w:val="nil"/>
              <w:right w:val="nil"/>
            </w:tcBorders>
            <w:shd w:val="clear" w:color="auto" w:fill="808080" w:themeFill="background1" w:themeFillShade="80"/>
            <w:vAlign w:val="center"/>
          </w:tcPr>
          <w:p w14:paraId="087474EE" w14:textId="77777777" w:rsidR="00855F88" w:rsidRPr="00375334" w:rsidRDefault="00855F88" w:rsidP="00034D4F">
            <w:pPr>
              <w:jc w:val="center"/>
              <w:rPr>
                <w:color w:val="FFFFFF" w:themeColor="background1"/>
              </w:rPr>
            </w:pPr>
          </w:p>
        </w:tc>
        <w:tc>
          <w:tcPr>
            <w:tcW w:w="784" w:type="pct"/>
            <w:tcBorders>
              <w:left w:val="nil"/>
            </w:tcBorders>
            <w:shd w:val="clear" w:color="auto" w:fill="808080" w:themeFill="background1" w:themeFillShade="80"/>
            <w:vAlign w:val="center"/>
          </w:tcPr>
          <w:p w14:paraId="76B69411" w14:textId="77777777" w:rsidR="00855F88" w:rsidRPr="00375334" w:rsidRDefault="00855F88" w:rsidP="005A7939">
            <w:pPr>
              <w:jc w:val="center"/>
              <w:rPr>
                <w:color w:val="FFFFFF" w:themeColor="background1"/>
              </w:rPr>
            </w:pPr>
          </w:p>
        </w:tc>
      </w:tr>
      <w:tr w:rsidR="00F64614" w:rsidRPr="00375334" w14:paraId="45D35D8F" w14:textId="77777777" w:rsidTr="00F64614">
        <w:tc>
          <w:tcPr>
            <w:tcW w:w="2500" w:type="pct"/>
          </w:tcPr>
          <w:p w14:paraId="29AEDBDA" w14:textId="77777777" w:rsidR="008A168D" w:rsidRPr="00375334" w:rsidRDefault="00B623EE" w:rsidP="008227A1">
            <w:r w:rsidRPr="00375334">
              <w:t>P</w:t>
            </w:r>
            <w:r w:rsidR="008A168D" w:rsidRPr="00375334">
              <w:t xml:space="preserve">rogram </w:t>
            </w:r>
            <w:r w:rsidR="008227A1" w:rsidRPr="00375334">
              <w:t>director</w:t>
            </w:r>
            <w:r w:rsidR="000C1416" w:rsidRPr="00375334">
              <w:t xml:space="preserve"> and support staff</w:t>
            </w:r>
          </w:p>
        </w:tc>
        <w:tc>
          <w:tcPr>
            <w:tcW w:w="517" w:type="pct"/>
            <w:vAlign w:val="center"/>
          </w:tcPr>
          <w:p w14:paraId="3435165C" w14:textId="7668435C" w:rsidR="008A168D" w:rsidRPr="00435726" w:rsidRDefault="00375334" w:rsidP="00034D4F">
            <w:pPr>
              <w:jc w:val="center"/>
              <w:rPr>
                <w:b/>
                <w:sz w:val="24"/>
              </w:rPr>
            </w:pPr>
            <w:r w:rsidRPr="00435726">
              <w:rPr>
                <w:b/>
                <w:sz w:val="24"/>
              </w:rPr>
              <w:sym w:font="Wingdings 2" w:char="F050"/>
            </w:r>
          </w:p>
        </w:tc>
        <w:tc>
          <w:tcPr>
            <w:tcW w:w="543" w:type="pct"/>
            <w:vAlign w:val="center"/>
          </w:tcPr>
          <w:p w14:paraId="73A78AEE" w14:textId="5C4B88D2" w:rsidR="008A168D" w:rsidRPr="00435726" w:rsidRDefault="00375334" w:rsidP="00034D4F">
            <w:pPr>
              <w:jc w:val="center"/>
              <w:rPr>
                <w:b/>
                <w:sz w:val="24"/>
              </w:rPr>
            </w:pPr>
            <w:r w:rsidRPr="00435726">
              <w:rPr>
                <w:b/>
                <w:sz w:val="24"/>
              </w:rPr>
              <w:sym w:font="Wingdings 2" w:char="F050"/>
            </w:r>
          </w:p>
        </w:tc>
        <w:tc>
          <w:tcPr>
            <w:tcW w:w="656" w:type="pct"/>
            <w:vAlign w:val="center"/>
          </w:tcPr>
          <w:p w14:paraId="7D89BF8C" w14:textId="44071364" w:rsidR="008A168D" w:rsidRPr="00435726" w:rsidRDefault="00375334" w:rsidP="00034D4F">
            <w:pPr>
              <w:jc w:val="center"/>
              <w:rPr>
                <w:b/>
                <w:sz w:val="24"/>
              </w:rPr>
            </w:pPr>
            <w:r w:rsidRPr="00435726">
              <w:rPr>
                <w:b/>
                <w:sz w:val="24"/>
              </w:rPr>
              <w:sym w:font="Wingdings 2" w:char="F050"/>
            </w:r>
          </w:p>
        </w:tc>
        <w:tc>
          <w:tcPr>
            <w:tcW w:w="784" w:type="pct"/>
            <w:vAlign w:val="center"/>
          </w:tcPr>
          <w:p w14:paraId="28865E10" w14:textId="77777777" w:rsidR="008A168D" w:rsidRPr="00375334" w:rsidRDefault="008A168D" w:rsidP="005A7939">
            <w:pPr>
              <w:jc w:val="center"/>
            </w:pPr>
            <w:r w:rsidRPr="00375334">
              <w:t>p.63</w:t>
            </w:r>
          </w:p>
        </w:tc>
      </w:tr>
      <w:tr w:rsidR="00F64614" w:rsidRPr="00375334" w14:paraId="371194E0" w14:textId="77777777" w:rsidTr="00F64614">
        <w:tc>
          <w:tcPr>
            <w:tcW w:w="2500" w:type="pct"/>
            <w:tcBorders>
              <w:bottom w:val="single" w:sz="4" w:space="0" w:color="auto"/>
            </w:tcBorders>
          </w:tcPr>
          <w:p w14:paraId="58B9174E" w14:textId="77777777" w:rsidR="008A168D" w:rsidRPr="00375334" w:rsidRDefault="008A168D" w:rsidP="002363A8">
            <w:r w:rsidRPr="00375334">
              <w:t xml:space="preserve">Plan for </w:t>
            </w:r>
            <w:r w:rsidR="00F76286" w:rsidRPr="00375334">
              <w:t>professional development</w:t>
            </w:r>
          </w:p>
        </w:tc>
        <w:tc>
          <w:tcPr>
            <w:tcW w:w="517" w:type="pct"/>
            <w:tcBorders>
              <w:bottom w:val="single" w:sz="4" w:space="0" w:color="auto"/>
            </w:tcBorders>
            <w:vAlign w:val="center"/>
          </w:tcPr>
          <w:p w14:paraId="4FBFFBCD" w14:textId="62C8ABFA" w:rsidR="008A168D" w:rsidRPr="00435726" w:rsidRDefault="00375334" w:rsidP="00034D4F">
            <w:pPr>
              <w:jc w:val="center"/>
              <w:rPr>
                <w:b/>
                <w:sz w:val="24"/>
              </w:rPr>
            </w:pPr>
            <w:r w:rsidRPr="00435726">
              <w:rPr>
                <w:b/>
                <w:sz w:val="24"/>
              </w:rPr>
              <w:sym w:font="Wingdings 2" w:char="F050"/>
            </w:r>
          </w:p>
        </w:tc>
        <w:tc>
          <w:tcPr>
            <w:tcW w:w="543" w:type="pct"/>
            <w:tcBorders>
              <w:bottom w:val="single" w:sz="4" w:space="0" w:color="auto"/>
            </w:tcBorders>
            <w:vAlign w:val="center"/>
          </w:tcPr>
          <w:p w14:paraId="132BD9F7" w14:textId="40DDC3C3" w:rsidR="008A168D" w:rsidRPr="00435726" w:rsidRDefault="00375334" w:rsidP="00034D4F">
            <w:pPr>
              <w:jc w:val="center"/>
              <w:rPr>
                <w:b/>
                <w:sz w:val="24"/>
              </w:rPr>
            </w:pPr>
            <w:r w:rsidRPr="00435726">
              <w:rPr>
                <w:b/>
                <w:sz w:val="24"/>
              </w:rPr>
              <w:sym w:font="Wingdings 2" w:char="F050"/>
            </w:r>
          </w:p>
        </w:tc>
        <w:tc>
          <w:tcPr>
            <w:tcW w:w="656" w:type="pct"/>
            <w:tcBorders>
              <w:bottom w:val="single" w:sz="4" w:space="0" w:color="auto"/>
            </w:tcBorders>
            <w:vAlign w:val="center"/>
          </w:tcPr>
          <w:p w14:paraId="1455A130" w14:textId="5CE5A1BC" w:rsidR="008A168D" w:rsidRPr="00435726" w:rsidRDefault="00375334" w:rsidP="00034D4F">
            <w:pPr>
              <w:jc w:val="center"/>
              <w:rPr>
                <w:b/>
                <w:sz w:val="24"/>
              </w:rPr>
            </w:pPr>
            <w:r w:rsidRPr="00435726">
              <w:rPr>
                <w:b/>
                <w:sz w:val="24"/>
              </w:rPr>
              <w:sym w:font="Wingdings 2" w:char="F050"/>
            </w:r>
          </w:p>
        </w:tc>
        <w:tc>
          <w:tcPr>
            <w:tcW w:w="784" w:type="pct"/>
            <w:tcBorders>
              <w:bottom w:val="single" w:sz="4" w:space="0" w:color="auto"/>
            </w:tcBorders>
            <w:vAlign w:val="center"/>
          </w:tcPr>
          <w:p w14:paraId="34157AB7" w14:textId="77777777" w:rsidR="008A168D" w:rsidRPr="00375334" w:rsidRDefault="008A168D" w:rsidP="005A7939">
            <w:pPr>
              <w:jc w:val="center"/>
            </w:pPr>
            <w:r w:rsidRPr="00375334">
              <w:t>p.63</w:t>
            </w:r>
          </w:p>
        </w:tc>
      </w:tr>
      <w:tr w:rsidR="00F64614" w:rsidRPr="00375334" w14:paraId="11BCB4CE" w14:textId="77777777" w:rsidTr="00F64614">
        <w:tc>
          <w:tcPr>
            <w:tcW w:w="2500" w:type="pct"/>
            <w:tcBorders>
              <w:right w:val="nil"/>
            </w:tcBorders>
            <w:shd w:val="clear" w:color="auto" w:fill="808080" w:themeFill="background1" w:themeFillShade="80"/>
          </w:tcPr>
          <w:p w14:paraId="38891969" w14:textId="77777777" w:rsidR="00855F88" w:rsidRPr="00375334" w:rsidRDefault="00855F88" w:rsidP="00EF2A4E">
            <w:pPr>
              <w:rPr>
                <w:color w:val="FFFFFF" w:themeColor="background1"/>
              </w:rPr>
            </w:pPr>
            <w:r w:rsidRPr="00375334">
              <w:rPr>
                <w:color w:val="FFFFFF" w:themeColor="background1"/>
              </w:rPr>
              <w:t>Partnerships</w:t>
            </w:r>
          </w:p>
        </w:tc>
        <w:tc>
          <w:tcPr>
            <w:tcW w:w="517" w:type="pct"/>
            <w:tcBorders>
              <w:left w:val="nil"/>
              <w:right w:val="nil"/>
            </w:tcBorders>
            <w:shd w:val="clear" w:color="auto" w:fill="808080" w:themeFill="background1" w:themeFillShade="80"/>
            <w:vAlign w:val="center"/>
          </w:tcPr>
          <w:p w14:paraId="7EA0A848" w14:textId="77777777" w:rsidR="00855F88" w:rsidRPr="00375334" w:rsidRDefault="00855F88" w:rsidP="00034D4F">
            <w:pPr>
              <w:jc w:val="center"/>
            </w:pPr>
          </w:p>
        </w:tc>
        <w:tc>
          <w:tcPr>
            <w:tcW w:w="543" w:type="pct"/>
            <w:tcBorders>
              <w:left w:val="nil"/>
              <w:bottom w:val="single" w:sz="4" w:space="0" w:color="auto"/>
              <w:right w:val="nil"/>
            </w:tcBorders>
            <w:shd w:val="clear" w:color="auto" w:fill="808080" w:themeFill="background1" w:themeFillShade="80"/>
            <w:vAlign w:val="center"/>
          </w:tcPr>
          <w:p w14:paraId="7464DBDF" w14:textId="77777777" w:rsidR="00855F88" w:rsidRPr="00375334" w:rsidRDefault="00855F88" w:rsidP="00034D4F">
            <w:pPr>
              <w:jc w:val="center"/>
            </w:pPr>
          </w:p>
        </w:tc>
        <w:tc>
          <w:tcPr>
            <w:tcW w:w="656" w:type="pct"/>
            <w:tcBorders>
              <w:left w:val="nil"/>
              <w:bottom w:val="single" w:sz="4" w:space="0" w:color="auto"/>
              <w:right w:val="nil"/>
            </w:tcBorders>
            <w:shd w:val="clear" w:color="auto" w:fill="808080" w:themeFill="background1" w:themeFillShade="80"/>
            <w:vAlign w:val="center"/>
          </w:tcPr>
          <w:p w14:paraId="5C53F4D1" w14:textId="77777777" w:rsidR="00855F88" w:rsidRPr="00375334" w:rsidRDefault="00855F88" w:rsidP="00034D4F">
            <w:pPr>
              <w:jc w:val="center"/>
            </w:pPr>
          </w:p>
        </w:tc>
        <w:tc>
          <w:tcPr>
            <w:tcW w:w="784" w:type="pct"/>
            <w:tcBorders>
              <w:left w:val="nil"/>
            </w:tcBorders>
            <w:shd w:val="clear" w:color="auto" w:fill="808080" w:themeFill="background1" w:themeFillShade="80"/>
            <w:vAlign w:val="center"/>
          </w:tcPr>
          <w:p w14:paraId="1BE3EB0B" w14:textId="77777777" w:rsidR="00855F88" w:rsidRPr="00375334" w:rsidRDefault="00855F88" w:rsidP="005A7939">
            <w:pPr>
              <w:jc w:val="center"/>
            </w:pPr>
          </w:p>
        </w:tc>
      </w:tr>
      <w:tr w:rsidR="00F64614" w:rsidRPr="00375334" w14:paraId="5F4DFE62" w14:textId="77777777" w:rsidTr="00F64614">
        <w:tc>
          <w:tcPr>
            <w:tcW w:w="2500" w:type="pct"/>
          </w:tcPr>
          <w:p w14:paraId="0F70F1F8" w14:textId="77777777" w:rsidR="00836F03" w:rsidRPr="00375334" w:rsidRDefault="00836F03" w:rsidP="00EF2A4E">
            <w:r w:rsidRPr="00375334">
              <w:t xml:space="preserve">Commitment from relevant educational, correctional, </w:t>
            </w:r>
            <w:r w:rsidR="006E1BBB" w:rsidRPr="00375334">
              <w:t xml:space="preserve">reentry, </w:t>
            </w:r>
            <w:r w:rsidRPr="00375334">
              <w:t>and</w:t>
            </w:r>
            <w:r w:rsidR="00F76286" w:rsidRPr="00375334">
              <w:t>/or</w:t>
            </w:r>
            <w:r w:rsidRPr="00375334">
              <w:t xml:space="preserve"> </w:t>
            </w:r>
            <w:r w:rsidR="006E1BBB" w:rsidRPr="00375334">
              <w:t xml:space="preserve">social service </w:t>
            </w:r>
            <w:r w:rsidRPr="00375334">
              <w:t>partners</w:t>
            </w:r>
          </w:p>
        </w:tc>
        <w:tc>
          <w:tcPr>
            <w:tcW w:w="517" w:type="pct"/>
            <w:vAlign w:val="center"/>
          </w:tcPr>
          <w:p w14:paraId="7AFF743B" w14:textId="284A78C6" w:rsidR="00836F03" w:rsidRPr="00435726" w:rsidRDefault="00375334" w:rsidP="00034D4F">
            <w:pPr>
              <w:jc w:val="center"/>
              <w:rPr>
                <w:b/>
                <w:sz w:val="24"/>
              </w:rPr>
            </w:pPr>
            <w:r w:rsidRPr="00435726">
              <w:rPr>
                <w:b/>
                <w:sz w:val="24"/>
              </w:rPr>
              <w:sym w:font="Wingdings 2" w:char="F050"/>
            </w:r>
          </w:p>
        </w:tc>
        <w:tc>
          <w:tcPr>
            <w:tcW w:w="543" w:type="pct"/>
            <w:tcBorders>
              <w:bottom w:val="single" w:sz="4" w:space="0" w:color="auto"/>
            </w:tcBorders>
            <w:vAlign w:val="center"/>
          </w:tcPr>
          <w:p w14:paraId="351B0407" w14:textId="6D906A11" w:rsidR="00836F03" w:rsidRPr="00435726" w:rsidRDefault="00375334" w:rsidP="00034D4F">
            <w:pPr>
              <w:jc w:val="center"/>
              <w:rPr>
                <w:b/>
                <w:sz w:val="24"/>
              </w:rPr>
            </w:pPr>
            <w:r w:rsidRPr="00435726">
              <w:rPr>
                <w:b/>
                <w:sz w:val="24"/>
              </w:rPr>
              <w:sym w:font="Wingdings 2" w:char="F050"/>
            </w:r>
          </w:p>
        </w:tc>
        <w:tc>
          <w:tcPr>
            <w:tcW w:w="656" w:type="pct"/>
            <w:tcBorders>
              <w:bottom w:val="single" w:sz="4" w:space="0" w:color="auto"/>
            </w:tcBorders>
            <w:vAlign w:val="center"/>
          </w:tcPr>
          <w:p w14:paraId="68765F7A" w14:textId="744EE91C" w:rsidR="00836F03" w:rsidRPr="00435726" w:rsidRDefault="00375334" w:rsidP="00034D4F">
            <w:pPr>
              <w:jc w:val="center"/>
              <w:rPr>
                <w:b/>
                <w:sz w:val="24"/>
              </w:rPr>
            </w:pPr>
            <w:r w:rsidRPr="00435726">
              <w:rPr>
                <w:b/>
                <w:sz w:val="24"/>
              </w:rPr>
              <w:sym w:font="Wingdings 2" w:char="F050"/>
            </w:r>
          </w:p>
        </w:tc>
        <w:tc>
          <w:tcPr>
            <w:tcW w:w="784" w:type="pct"/>
            <w:vAlign w:val="center"/>
          </w:tcPr>
          <w:p w14:paraId="2039AA7B" w14:textId="77777777" w:rsidR="00836F03" w:rsidRPr="00375334" w:rsidRDefault="00836F03" w:rsidP="005A7939">
            <w:pPr>
              <w:jc w:val="center"/>
            </w:pPr>
            <w:r w:rsidRPr="00375334">
              <w:t>pp.66-</w:t>
            </w:r>
            <w:r w:rsidR="00B25B90" w:rsidRPr="00375334">
              <w:t>6</w:t>
            </w:r>
            <w:r w:rsidRPr="00375334">
              <w:t>7</w:t>
            </w:r>
          </w:p>
        </w:tc>
      </w:tr>
      <w:tr w:rsidR="00F64614" w:rsidRPr="00375334" w14:paraId="1C082A18" w14:textId="77777777" w:rsidTr="00F64614">
        <w:tc>
          <w:tcPr>
            <w:tcW w:w="2500" w:type="pct"/>
          </w:tcPr>
          <w:p w14:paraId="4E24DD4D" w14:textId="77777777" w:rsidR="00E135B6" w:rsidRPr="00375334" w:rsidRDefault="00E135B6" w:rsidP="00EF2A4E">
            <w:r w:rsidRPr="00375334">
              <w:t>Responsiveness to student</w:t>
            </w:r>
            <w:r w:rsidR="00C37943" w:rsidRPr="00375334">
              <w:t>s’</w:t>
            </w:r>
            <w:r w:rsidRPr="00375334">
              <w:t xml:space="preserve"> needs when reentering the community</w:t>
            </w:r>
          </w:p>
        </w:tc>
        <w:tc>
          <w:tcPr>
            <w:tcW w:w="517" w:type="pct"/>
            <w:tcBorders>
              <w:bottom w:val="single" w:sz="4" w:space="0" w:color="auto"/>
            </w:tcBorders>
            <w:vAlign w:val="center"/>
          </w:tcPr>
          <w:p w14:paraId="774ABBCB" w14:textId="678CBD62" w:rsidR="00E135B6" w:rsidRPr="00435726" w:rsidRDefault="00375334" w:rsidP="00034D4F">
            <w:pPr>
              <w:jc w:val="center"/>
              <w:rPr>
                <w:b/>
                <w:sz w:val="24"/>
              </w:rPr>
            </w:pPr>
            <w:r w:rsidRPr="00435726">
              <w:rPr>
                <w:b/>
                <w:sz w:val="24"/>
              </w:rPr>
              <w:sym w:font="Wingdings 2" w:char="F050"/>
            </w:r>
          </w:p>
        </w:tc>
        <w:tc>
          <w:tcPr>
            <w:tcW w:w="543" w:type="pct"/>
            <w:tcBorders>
              <w:bottom w:val="single" w:sz="4" w:space="0" w:color="auto"/>
            </w:tcBorders>
            <w:vAlign w:val="center"/>
          </w:tcPr>
          <w:p w14:paraId="09135F5F" w14:textId="4543EAC7" w:rsidR="00E135B6" w:rsidRPr="00435726" w:rsidRDefault="00375334" w:rsidP="00034D4F">
            <w:pPr>
              <w:jc w:val="center"/>
              <w:rPr>
                <w:b/>
                <w:sz w:val="24"/>
              </w:rPr>
            </w:pPr>
            <w:r w:rsidRPr="00435726">
              <w:rPr>
                <w:b/>
                <w:sz w:val="24"/>
              </w:rPr>
              <w:sym w:font="Wingdings 2" w:char="F050"/>
            </w:r>
          </w:p>
        </w:tc>
        <w:tc>
          <w:tcPr>
            <w:tcW w:w="656" w:type="pct"/>
            <w:tcBorders>
              <w:bottom w:val="single" w:sz="4" w:space="0" w:color="auto"/>
            </w:tcBorders>
            <w:vAlign w:val="center"/>
          </w:tcPr>
          <w:p w14:paraId="473E8678" w14:textId="6DCCE1E3" w:rsidR="00E135B6" w:rsidRPr="00435726" w:rsidRDefault="00375334" w:rsidP="00034D4F">
            <w:pPr>
              <w:jc w:val="center"/>
              <w:rPr>
                <w:b/>
                <w:sz w:val="24"/>
              </w:rPr>
            </w:pPr>
            <w:r w:rsidRPr="00435726">
              <w:rPr>
                <w:b/>
                <w:sz w:val="24"/>
              </w:rPr>
              <w:sym w:font="Wingdings 2" w:char="F050"/>
            </w:r>
          </w:p>
        </w:tc>
        <w:tc>
          <w:tcPr>
            <w:tcW w:w="784" w:type="pct"/>
            <w:vAlign w:val="center"/>
          </w:tcPr>
          <w:p w14:paraId="44B983F5" w14:textId="77777777" w:rsidR="00E135B6" w:rsidRPr="00375334" w:rsidRDefault="00651F7F" w:rsidP="005A7939">
            <w:pPr>
              <w:jc w:val="center"/>
            </w:pPr>
            <w:r w:rsidRPr="00375334">
              <w:t>pp.61-</w:t>
            </w:r>
            <w:r w:rsidR="00B25B90" w:rsidRPr="00375334">
              <w:t>6</w:t>
            </w:r>
            <w:r w:rsidRPr="00375334">
              <w:t>3</w:t>
            </w:r>
          </w:p>
        </w:tc>
      </w:tr>
      <w:tr w:rsidR="00F64614" w:rsidRPr="00375334" w14:paraId="7D745BFA" w14:textId="77777777" w:rsidTr="00F64614">
        <w:tc>
          <w:tcPr>
            <w:tcW w:w="2500" w:type="pct"/>
          </w:tcPr>
          <w:p w14:paraId="00439744" w14:textId="77777777" w:rsidR="00E135B6" w:rsidRPr="00375334" w:rsidRDefault="003D282B" w:rsidP="003D1328">
            <w:r w:rsidRPr="00375334">
              <w:t>On-ramps from corrections to education</w:t>
            </w:r>
          </w:p>
        </w:tc>
        <w:tc>
          <w:tcPr>
            <w:tcW w:w="517" w:type="pct"/>
            <w:tcBorders>
              <w:right w:val="single" w:sz="4" w:space="0" w:color="auto"/>
              <w:tl2br w:val="nil"/>
              <w:tr2bl w:val="nil"/>
            </w:tcBorders>
            <w:vAlign w:val="center"/>
          </w:tcPr>
          <w:p w14:paraId="3C0EB630" w14:textId="4C903182" w:rsidR="00E135B6" w:rsidRPr="00435726" w:rsidRDefault="00375334" w:rsidP="003746B4">
            <w:pPr>
              <w:jc w:val="center"/>
              <w:rPr>
                <w:b/>
                <w:sz w:val="24"/>
              </w:rPr>
            </w:pPr>
            <w:r w:rsidRPr="00435726">
              <w:rPr>
                <w:b/>
                <w:sz w:val="24"/>
              </w:rPr>
              <w:sym w:font="Wingdings 2" w:char="F050"/>
            </w:r>
          </w:p>
        </w:tc>
        <w:tc>
          <w:tcPr>
            <w:tcW w:w="543" w:type="pct"/>
            <w:tcBorders>
              <w:top w:val="single" w:sz="4" w:space="0" w:color="auto"/>
              <w:left w:val="single" w:sz="4" w:space="0" w:color="auto"/>
              <w:bottom w:val="single" w:sz="4" w:space="0" w:color="auto"/>
              <w:right w:val="single" w:sz="4" w:space="0" w:color="auto"/>
              <w:tl2br w:val="nil"/>
              <w:tr2bl w:val="nil"/>
            </w:tcBorders>
            <w:vAlign w:val="center"/>
          </w:tcPr>
          <w:p w14:paraId="1B7028E8" w14:textId="643707AE" w:rsidR="00E135B6" w:rsidRPr="00435726" w:rsidRDefault="00375334" w:rsidP="00034D4F">
            <w:pPr>
              <w:jc w:val="center"/>
              <w:rPr>
                <w:b/>
                <w:sz w:val="24"/>
              </w:rPr>
            </w:pPr>
            <w:r w:rsidRPr="00435726">
              <w:rPr>
                <w:b/>
                <w:sz w:val="24"/>
              </w:rPr>
              <w:sym w:font="Wingdings 2" w:char="F050"/>
            </w:r>
          </w:p>
        </w:tc>
        <w:tc>
          <w:tcPr>
            <w:tcW w:w="656" w:type="pct"/>
            <w:tcBorders>
              <w:top w:val="single" w:sz="4" w:space="0" w:color="auto"/>
              <w:left w:val="single" w:sz="4" w:space="0" w:color="auto"/>
              <w:bottom w:val="single" w:sz="4" w:space="0" w:color="auto"/>
              <w:right w:val="single" w:sz="4" w:space="0" w:color="auto"/>
            </w:tcBorders>
            <w:vAlign w:val="center"/>
          </w:tcPr>
          <w:p w14:paraId="38DE0980" w14:textId="4AF95747" w:rsidR="00E135B6" w:rsidRPr="00435726" w:rsidRDefault="00375334" w:rsidP="00034D4F">
            <w:pPr>
              <w:jc w:val="center"/>
              <w:rPr>
                <w:b/>
                <w:sz w:val="24"/>
              </w:rPr>
            </w:pPr>
            <w:r w:rsidRPr="00435726">
              <w:rPr>
                <w:b/>
                <w:sz w:val="24"/>
              </w:rPr>
              <w:sym w:font="Wingdings 2" w:char="F050"/>
            </w:r>
          </w:p>
        </w:tc>
        <w:tc>
          <w:tcPr>
            <w:tcW w:w="784" w:type="pct"/>
            <w:tcBorders>
              <w:left w:val="single" w:sz="4" w:space="0" w:color="auto"/>
            </w:tcBorders>
            <w:vAlign w:val="center"/>
          </w:tcPr>
          <w:p w14:paraId="391F3656" w14:textId="77777777" w:rsidR="00E135B6" w:rsidRPr="00375334" w:rsidRDefault="00E135B6" w:rsidP="005A7939">
            <w:pPr>
              <w:jc w:val="center"/>
            </w:pPr>
            <w:r w:rsidRPr="00375334">
              <w:t>pp.66-</w:t>
            </w:r>
            <w:r w:rsidR="00B25B90" w:rsidRPr="00375334">
              <w:t>6</w:t>
            </w:r>
            <w:r w:rsidRPr="00375334">
              <w:t>7</w:t>
            </w:r>
          </w:p>
        </w:tc>
      </w:tr>
      <w:tr w:rsidR="00F64614" w:rsidRPr="00375334" w14:paraId="59A0FE2A" w14:textId="77777777" w:rsidTr="00F64614">
        <w:tc>
          <w:tcPr>
            <w:tcW w:w="2500" w:type="pct"/>
            <w:tcBorders>
              <w:right w:val="nil"/>
            </w:tcBorders>
            <w:shd w:val="clear" w:color="auto" w:fill="808080" w:themeFill="background1" w:themeFillShade="80"/>
          </w:tcPr>
          <w:p w14:paraId="73F984BF" w14:textId="77777777" w:rsidR="00E135B6" w:rsidRPr="00375334" w:rsidRDefault="00E135B6" w:rsidP="00EF2A4E">
            <w:pPr>
              <w:rPr>
                <w:color w:val="FFFFFF" w:themeColor="background1"/>
              </w:rPr>
            </w:pPr>
            <w:r w:rsidRPr="00375334">
              <w:rPr>
                <w:color w:val="FFFFFF" w:themeColor="background1"/>
              </w:rPr>
              <w:t>Capacity and Sustainability</w:t>
            </w:r>
          </w:p>
        </w:tc>
        <w:tc>
          <w:tcPr>
            <w:tcW w:w="517" w:type="pct"/>
            <w:tcBorders>
              <w:left w:val="nil"/>
              <w:right w:val="nil"/>
            </w:tcBorders>
            <w:shd w:val="clear" w:color="auto" w:fill="808080" w:themeFill="background1" w:themeFillShade="80"/>
            <w:vAlign w:val="center"/>
          </w:tcPr>
          <w:p w14:paraId="46668833" w14:textId="77777777" w:rsidR="00E135B6" w:rsidRPr="00375334" w:rsidRDefault="00E135B6" w:rsidP="00034D4F">
            <w:pPr>
              <w:jc w:val="center"/>
            </w:pPr>
          </w:p>
        </w:tc>
        <w:tc>
          <w:tcPr>
            <w:tcW w:w="543" w:type="pct"/>
            <w:tcBorders>
              <w:top w:val="single" w:sz="4" w:space="0" w:color="auto"/>
              <w:left w:val="nil"/>
              <w:bottom w:val="single" w:sz="4" w:space="0" w:color="auto"/>
              <w:right w:val="nil"/>
            </w:tcBorders>
            <w:shd w:val="clear" w:color="auto" w:fill="808080" w:themeFill="background1" w:themeFillShade="80"/>
            <w:vAlign w:val="center"/>
          </w:tcPr>
          <w:p w14:paraId="6683ED42" w14:textId="77777777" w:rsidR="00E135B6" w:rsidRPr="00375334" w:rsidRDefault="00E135B6" w:rsidP="00034D4F">
            <w:pPr>
              <w:jc w:val="center"/>
            </w:pPr>
          </w:p>
        </w:tc>
        <w:tc>
          <w:tcPr>
            <w:tcW w:w="656" w:type="pct"/>
            <w:tcBorders>
              <w:top w:val="single" w:sz="4" w:space="0" w:color="auto"/>
              <w:left w:val="nil"/>
              <w:bottom w:val="single" w:sz="4" w:space="0" w:color="auto"/>
              <w:right w:val="nil"/>
            </w:tcBorders>
            <w:shd w:val="clear" w:color="auto" w:fill="808080" w:themeFill="background1" w:themeFillShade="80"/>
            <w:vAlign w:val="center"/>
          </w:tcPr>
          <w:p w14:paraId="6E31E9EB" w14:textId="77777777" w:rsidR="00E135B6" w:rsidRPr="00375334" w:rsidRDefault="00E135B6" w:rsidP="00034D4F">
            <w:pPr>
              <w:jc w:val="center"/>
            </w:pPr>
          </w:p>
        </w:tc>
        <w:tc>
          <w:tcPr>
            <w:tcW w:w="784" w:type="pct"/>
            <w:tcBorders>
              <w:left w:val="nil"/>
            </w:tcBorders>
            <w:shd w:val="clear" w:color="auto" w:fill="808080" w:themeFill="background1" w:themeFillShade="80"/>
            <w:vAlign w:val="center"/>
          </w:tcPr>
          <w:p w14:paraId="0BE7E09F" w14:textId="77777777" w:rsidR="00E135B6" w:rsidRPr="00375334" w:rsidRDefault="00E135B6" w:rsidP="005A7939">
            <w:pPr>
              <w:jc w:val="center"/>
            </w:pPr>
          </w:p>
        </w:tc>
      </w:tr>
      <w:tr w:rsidR="00F64614" w:rsidRPr="00375334" w14:paraId="05E9DC78" w14:textId="77777777" w:rsidTr="00F64614">
        <w:tc>
          <w:tcPr>
            <w:tcW w:w="2500" w:type="pct"/>
          </w:tcPr>
          <w:p w14:paraId="10437943" w14:textId="77777777" w:rsidR="00E135B6" w:rsidRPr="00375334" w:rsidRDefault="00E135B6" w:rsidP="00B748B6">
            <w:r w:rsidRPr="00375334">
              <w:t>Matching resources available from p</w:t>
            </w:r>
            <w:r w:rsidR="005C5E3F" w:rsidRPr="00375334">
              <w:t>ublic</w:t>
            </w:r>
            <w:r w:rsidRPr="00375334">
              <w:t xml:space="preserve"> sources</w:t>
            </w:r>
          </w:p>
        </w:tc>
        <w:tc>
          <w:tcPr>
            <w:tcW w:w="517" w:type="pct"/>
            <w:vAlign w:val="center"/>
          </w:tcPr>
          <w:p w14:paraId="078FB751" w14:textId="4C24A60C" w:rsidR="00E135B6" w:rsidRPr="00435726" w:rsidRDefault="00375334" w:rsidP="00034D4F">
            <w:pPr>
              <w:jc w:val="center"/>
              <w:rPr>
                <w:b/>
                <w:sz w:val="24"/>
              </w:rPr>
            </w:pPr>
            <w:r w:rsidRPr="00435726">
              <w:rPr>
                <w:b/>
                <w:sz w:val="24"/>
              </w:rPr>
              <w:sym w:font="Wingdings 2" w:char="F050"/>
            </w:r>
          </w:p>
        </w:tc>
        <w:tc>
          <w:tcPr>
            <w:tcW w:w="543" w:type="pct"/>
            <w:tcBorders>
              <w:top w:val="single" w:sz="4" w:space="0" w:color="auto"/>
              <w:bottom w:val="single" w:sz="4" w:space="0" w:color="auto"/>
              <w:right w:val="single" w:sz="4" w:space="0" w:color="auto"/>
            </w:tcBorders>
            <w:vAlign w:val="center"/>
          </w:tcPr>
          <w:p w14:paraId="2F7845D7" w14:textId="4F05A730" w:rsidR="00E135B6" w:rsidRPr="00435726" w:rsidRDefault="00375334" w:rsidP="00034D4F">
            <w:pPr>
              <w:jc w:val="center"/>
              <w:rPr>
                <w:b/>
                <w:sz w:val="24"/>
              </w:rPr>
            </w:pPr>
            <w:r w:rsidRPr="00435726">
              <w:rPr>
                <w:b/>
                <w:sz w:val="24"/>
              </w:rPr>
              <w:sym w:font="Wingdings 2" w:char="F050"/>
            </w:r>
          </w:p>
        </w:tc>
        <w:tc>
          <w:tcPr>
            <w:tcW w:w="656" w:type="pct"/>
            <w:tcBorders>
              <w:top w:val="single" w:sz="4" w:space="0" w:color="auto"/>
              <w:left w:val="single" w:sz="4" w:space="0" w:color="auto"/>
              <w:bottom w:val="single" w:sz="4" w:space="0" w:color="auto"/>
              <w:right w:val="single" w:sz="4" w:space="0" w:color="auto"/>
            </w:tcBorders>
            <w:vAlign w:val="center"/>
          </w:tcPr>
          <w:p w14:paraId="341C116A" w14:textId="3CDEE667" w:rsidR="00E135B6" w:rsidRPr="00435726" w:rsidRDefault="00375334" w:rsidP="00034D4F">
            <w:pPr>
              <w:jc w:val="center"/>
              <w:rPr>
                <w:b/>
                <w:sz w:val="24"/>
              </w:rPr>
            </w:pPr>
            <w:r w:rsidRPr="00435726">
              <w:rPr>
                <w:b/>
                <w:sz w:val="24"/>
              </w:rPr>
              <w:sym w:font="Wingdings 2" w:char="F050"/>
            </w:r>
          </w:p>
        </w:tc>
        <w:tc>
          <w:tcPr>
            <w:tcW w:w="784" w:type="pct"/>
            <w:tcBorders>
              <w:left w:val="single" w:sz="4" w:space="0" w:color="auto"/>
            </w:tcBorders>
            <w:vAlign w:val="center"/>
          </w:tcPr>
          <w:p w14:paraId="33D4CDD9" w14:textId="77777777" w:rsidR="00E135B6" w:rsidRPr="00375334" w:rsidRDefault="00E135B6" w:rsidP="005A7939">
            <w:pPr>
              <w:jc w:val="center"/>
            </w:pPr>
            <w:r w:rsidRPr="00375334">
              <w:t>p.64</w:t>
            </w:r>
          </w:p>
        </w:tc>
      </w:tr>
      <w:tr w:rsidR="00F64614" w:rsidRPr="00375334" w14:paraId="12039C06" w14:textId="77777777" w:rsidTr="00F64614">
        <w:tc>
          <w:tcPr>
            <w:tcW w:w="2500" w:type="pct"/>
          </w:tcPr>
          <w:p w14:paraId="77BBAAE0" w14:textId="77777777" w:rsidR="00E135B6" w:rsidRPr="00375334" w:rsidRDefault="00C12363" w:rsidP="00B748B6">
            <w:r w:rsidRPr="00375334">
              <w:t>Plan for</w:t>
            </w:r>
            <w:r w:rsidR="00E135B6" w:rsidRPr="00375334">
              <w:t xml:space="preserve"> long-term sustainability</w:t>
            </w:r>
            <w:r w:rsidR="00A95367" w:rsidRPr="00375334">
              <w:t xml:space="preserve"> and </w:t>
            </w:r>
            <w:r w:rsidR="007F0A7F" w:rsidRPr="00375334">
              <w:t>scalability</w:t>
            </w:r>
          </w:p>
        </w:tc>
        <w:tc>
          <w:tcPr>
            <w:tcW w:w="517" w:type="pct"/>
            <w:vAlign w:val="center"/>
          </w:tcPr>
          <w:p w14:paraId="759757EC" w14:textId="1CCFE778" w:rsidR="00E135B6" w:rsidRPr="00435726" w:rsidRDefault="00375334" w:rsidP="00034D4F">
            <w:pPr>
              <w:jc w:val="center"/>
              <w:rPr>
                <w:b/>
                <w:sz w:val="24"/>
              </w:rPr>
            </w:pPr>
            <w:r w:rsidRPr="00435726">
              <w:rPr>
                <w:b/>
                <w:sz w:val="24"/>
              </w:rPr>
              <w:sym w:font="Wingdings 2" w:char="F050"/>
            </w:r>
          </w:p>
        </w:tc>
        <w:tc>
          <w:tcPr>
            <w:tcW w:w="543" w:type="pct"/>
            <w:tcBorders>
              <w:top w:val="single" w:sz="4" w:space="0" w:color="auto"/>
              <w:bottom w:val="single" w:sz="4" w:space="0" w:color="auto"/>
              <w:right w:val="single" w:sz="4" w:space="0" w:color="auto"/>
            </w:tcBorders>
            <w:vAlign w:val="center"/>
          </w:tcPr>
          <w:p w14:paraId="4A14DF03" w14:textId="7B0A3E48" w:rsidR="00E135B6" w:rsidRPr="00435726" w:rsidRDefault="00375334" w:rsidP="00034D4F">
            <w:pPr>
              <w:jc w:val="center"/>
              <w:rPr>
                <w:b/>
                <w:sz w:val="24"/>
              </w:rPr>
            </w:pPr>
            <w:r w:rsidRPr="00435726">
              <w:rPr>
                <w:b/>
                <w:sz w:val="24"/>
              </w:rPr>
              <w:sym w:font="Wingdings 2" w:char="F050"/>
            </w:r>
          </w:p>
        </w:tc>
        <w:tc>
          <w:tcPr>
            <w:tcW w:w="656" w:type="pct"/>
            <w:tcBorders>
              <w:top w:val="single" w:sz="4" w:space="0" w:color="auto"/>
              <w:left w:val="single" w:sz="4" w:space="0" w:color="auto"/>
              <w:bottom w:val="single" w:sz="4" w:space="0" w:color="auto"/>
              <w:right w:val="single" w:sz="4" w:space="0" w:color="auto"/>
            </w:tcBorders>
            <w:vAlign w:val="center"/>
          </w:tcPr>
          <w:p w14:paraId="1DBC4DAF" w14:textId="68382368" w:rsidR="00E135B6" w:rsidRPr="00435726" w:rsidRDefault="00375334" w:rsidP="00034D4F">
            <w:pPr>
              <w:jc w:val="center"/>
              <w:rPr>
                <w:b/>
                <w:sz w:val="24"/>
              </w:rPr>
            </w:pPr>
            <w:r w:rsidRPr="00435726">
              <w:rPr>
                <w:b/>
                <w:sz w:val="24"/>
              </w:rPr>
              <w:sym w:font="Wingdings 2" w:char="F050"/>
            </w:r>
          </w:p>
        </w:tc>
        <w:tc>
          <w:tcPr>
            <w:tcW w:w="784" w:type="pct"/>
            <w:tcBorders>
              <w:left w:val="single" w:sz="4" w:space="0" w:color="auto"/>
            </w:tcBorders>
            <w:vAlign w:val="center"/>
          </w:tcPr>
          <w:p w14:paraId="5BFCF303" w14:textId="77777777" w:rsidR="00E135B6" w:rsidRPr="00375334" w:rsidRDefault="00E135B6" w:rsidP="005A7939">
            <w:pPr>
              <w:jc w:val="center"/>
            </w:pPr>
            <w:r w:rsidRPr="00375334">
              <w:t>p.64-</w:t>
            </w:r>
            <w:r w:rsidR="00B25B90" w:rsidRPr="00375334">
              <w:t>6</w:t>
            </w:r>
            <w:r w:rsidRPr="00375334">
              <w:t>5</w:t>
            </w:r>
          </w:p>
        </w:tc>
      </w:tr>
      <w:tr w:rsidR="00F64614" w:rsidRPr="00375334" w14:paraId="45C7CB0A" w14:textId="77777777" w:rsidTr="00F64614">
        <w:tc>
          <w:tcPr>
            <w:tcW w:w="2500" w:type="pct"/>
            <w:tcBorders>
              <w:right w:val="nil"/>
            </w:tcBorders>
            <w:shd w:val="clear" w:color="auto" w:fill="808080" w:themeFill="background1" w:themeFillShade="80"/>
          </w:tcPr>
          <w:p w14:paraId="2F85552B" w14:textId="77777777" w:rsidR="00E135B6" w:rsidRPr="00375334" w:rsidRDefault="00E135B6" w:rsidP="00EF2A4E">
            <w:pPr>
              <w:rPr>
                <w:color w:val="FFFFFF" w:themeColor="background1"/>
              </w:rPr>
            </w:pPr>
            <w:r w:rsidRPr="00375334">
              <w:rPr>
                <w:color w:val="FFFFFF" w:themeColor="background1"/>
              </w:rPr>
              <w:t>Engagement in Initiative</w:t>
            </w:r>
          </w:p>
        </w:tc>
        <w:tc>
          <w:tcPr>
            <w:tcW w:w="517" w:type="pct"/>
            <w:tcBorders>
              <w:left w:val="nil"/>
              <w:right w:val="nil"/>
            </w:tcBorders>
            <w:shd w:val="clear" w:color="auto" w:fill="808080" w:themeFill="background1" w:themeFillShade="80"/>
            <w:vAlign w:val="center"/>
          </w:tcPr>
          <w:p w14:paraId="292114EF" w14:textId="77777777" w:rsidR="00E135B6" w:rsidRPr="00375334" w:rsidRDefault="00E135B6" w:rsidP="00034D4F">
            <w:pPr>
              <w:jc w:val="center"/>
            </w:pPr>
          </w:p>
        </w:tc>
        <w:tc>
          <w:tcPr>
            <w:tcW w:w="543" w:type="pct"/>
            <w:tcBorders>
              <w:top w:val="single" w:sz="4" w:space="0" w:color="auto"/>
              <w:left w:val="nil"/>
              <w:bottom w:val="single" w:sz="4" w:space="0" w:color="auto"/>
              <w:right w:val="nil"/>
            </w:tcBorders>
            <w:shd w:val="clear" w:color="auto" w:fill="808080" w:themeFill="background1" w:themeFillShade="80"/>
            <w:vAlign w:val="center"/>
          </w:tcPr>
          <w:p w14:paraId="752CE525" w14:textId="77777777" w:rsidR="00E135B6" w:rsidRPr="00375334" w:rsidRDefault="00E135B6" w:rsidP="00034D4F">
            <w:pPr>
              <w:jc w:val="center"/>
            </w:pPr>
          </w:p>
        </w:tc>
        <w:tc>
          <w:tcPr>
            <w:tcW w:w="656" w:type="pct"/>
            <w:tcBorders>
              <w:top w:val="single" w:sz="4" w:space="0" w:color="auto"/>
              <w:left w:val="nil"/>
              <w:bottom w:val="single" w:sz="4" w:space="0" w:color="auto"/>
              <w:right w:val="nil"/>
            </w:tcBorders>
            <w:shd w:val="clear" w:color="auto" w:fill="808080" w:themeFill="background1" w:themeFillShade="80"/>
            <w:vAlign w:val="center"/>
          </w:tcPr>
          <w:p w14:paraId="565FB1DA" w14:textId="77777777" w:rsidR="00E135B6" w:rsidRPr="00375334" w:rsidRDefault="00E135B6" w:rsidP="00034D4F">
            <w:pPr>
              <w:jc w:val="center"/>
            </w:pPr>
          </w:p>
        </w:tc>
        <w:tc>
          <w:tcPr>
            <w:tcW w:w="784" w:type="pct"/>
            <w:tcBorders>
              <w:left w:val="nil"/>
            </w:tcBorders>
            <w:shd w:val="clear" w:color="auto" w:fill="808080" w:themeFill="background1" w:themeFillShade="80"/>
            <w:vAlign w:val="center"/>
          </w:tcPr>
          <w:p w14:paraId="3036EA50" w14:textId="77777777" w:rsidR="00E135B6" w:rsidRPr="00375334" w:rsidRDefault="00E135B6" w:rsidP="005A7939">
            <w:pPr>
              <w:jc w:val="center"/>
            </w:pPr>
          </w:p>
        </w:tc>
      </w:tr>
      <w:tr w:rsidR="00F64614" w:rsidRPr="00375334" w14:paraId="2E970A4E" w14:textId="77777777" w:rsidTr="00F64614">
        <w:tc>
          <w:tcPr>
            <w:tcW w:w="2500" w:type="pct"/>
          </w:tcPr>
          <w:p w14:paraId="1CC51F84" w14:textId="77777777" w:rsidR="00E135B6" w:rsidRPr="00375334" w:rsidRDefault="00E135B6" w:rsidP="00EF2A4E">
            <w:r w:rsidRPr="00375334">
              <w:t>Commitment to participate in evaluation</w:t>
            </w:r>
          </w:p>
        </w:tc>
        <w:tc>
          <w:tcPr>
            <w:tcW w:w="517" w:type="pct"/>
            <w:vAlign w:val="center"/>
          </w:tcPr>
          <w:p w14:paraId="5156DF79" w14:textId="1407E375" w:rsidR="00E135B6" w:rsidRPr="00435726" w:rsidRDefault="00375334" w:rsidP="00034D4F">
            <w:pPr>
              <w:jc w:val="center"/>
              <w:rPr>
                <w:b/>
                <w:sz w:val="24"/>
              </w:rPr>
            </w:pPr>
            <w:r w:rsidRPr="00435726">
              <w:rPr>
                <w:b/>
                <w:sz w:val="24"/>
              </w:rPr>
              <w:sym w:font="Wingdings 2" w:char="F050"/>
            </w:r>
          </w:p>
        </w:tc>
        <w:tc>
          <w:tcPr>
            <w:tcW w:w="543" w:type="pct"/>
            <w:tcBorders>
              <w:top w:val="single" w:sz="4" w:space="0" w:color="auto"/>
              <w:bottom w:val="single" w:sz="4" w:space="0" w:color="auto"/>
              <w:right w:val="single" w:sz="4" w:space="0" w:color="auto"/>
            </w:tcBorders>
            <w:vAlign w:val="center"/>
          </w:tcPr>
          <w:p w14:paraId="0CC7FA9B" w14:textId="5C7E6FEE" w:rsidR="00E135B6" w:rsidRPr="00435726" w:rsidRDefault="00375334" w:rsidP="00034D4F">
            <w:pPr>
              <w:jc w:val="center"/>
              <w:rPr>
                <w:b/>
                <w:sz w:val="24"/>
              </w:rPr>
            </w:pPr>
            <w:r w:rsidRPr="00435726">
              <w:rPr>
                <w:b/>
                <w:sz w:val="24"/>
              </w:rPr>
              <w:sym w:font="Wingdings 2" w:char="F050"/>
            </w:r>
          </w:p>
        </w:tc>
        <w:tc>
          <w:tcPr>
            <w:tcW w:w="656" w:type="pct"/>
            <w:tcBorders>
              <w:top w:val="single" w:sz="4" w:space="0" w:color="auto"/>
              <w:left w:val="single" w:sz="4" w:space="0" w:color="auto"/>
              <w:bottom w:val="single" w:sz="4" w:space="0" w:color="auto"/>
              <w:right w:val="single" w:sz="4" w:space="0" w:color="auto"/>
            </w:tcBorders>
            <w:vAlign w:val="center"/>
          </w:tcPr>
          <w:p w14:paraId="6EE5B105" w14:textId="7AD8707D" w:rsidR="00E135B6" w:rsidRPr="00435726" w:rsidRDefault="00375334" w:rsidP="00034D4F">
            <w:pPr>
              <w:jc w:val="center"/>
              <w:rPr>
                <w:b/>
                <w:sz w:val="24"/>
              </w:rPr>
            </w:pPr>
            <w:r w:rsidRPr="00435726">
              <w:rPr>
                <w:b/>
                <w:sz w:val="24"/>
              </w:rPr>
              <w:sym w:font="Wingdings 2" w:char="F050"/>
            </w:r>
          </w:p>
        </w:tc>
        <w:tc>
          <w:tcPr>
            <w:tcW w:w="784" w:type="pct"/>
            <w:tcBorders>
              <w:left w:val="single" w:sz="4" w:space="0" w:color="auto"/>
            </w:tcBorders>
            <w:vAlign w:val="center"/>
          </w:tcPr>
          <w:p w14:paraId="7CC50D2A" w14:textId="77777777" w:rsidR="00E135B6" w:rsidRPr="00375334" w:rsidRDefault="00E135B6" w:rsidP="005A7939">
            <w:pPr>
              <w:jc w:val="center"/>
            </w:pPr>
            <w:r w:rsidRPr="00375334">
              <w:t>p.64</w:t>
            </w:r>
          </w:p>
        </w:tc>
      </w:tr>
      <w:tr w:rsidR="00F64614" w:rsidRPr="00375334" w14:paraId="0E3926BA" w14:textId="77777777" w:rsidTr="00F64614">
        <w:tc>
          <w:tcPr>
            <w:tcW w:w="2500" w:type="pct"/>
          </w:tcPr>
          <w:p w14:paraId="73732A86" w14:textId="77777777" w:rsidR="00E135B6" w:rsidRPr="00375334" w:rsidRDefault="00E135B6" w:rsidP="00EF2A4E">
            <w:r w:rsidRPr="00375334">
              <w:t>Commitment to participate in learning community with other grantees</w:t>
            </w:r>
          </w:p>
        </w:tc>
        <w:tc>
          <w:tcPr>
            <w:tcW w:w="517" w:type="pct"/>
            <w:vAlign w:val="center"/>
          </w:tcPr>
          <w:p w14:paraId="24334EDE" w14:textId="7BC7E3DD" w:rsidR="00E135B6" w:rsidRPr="00435726" w:rsidRDefault="00375334" w:rsidP="00034D4F">
            <w:pPr>
              <w:jc w:val="center"/>
              <w:rPr>
                <w:b/>
                <w:sz w:val="24"/>
              </w:rPr>
            </w:pPr>
            <w:r w:rsidRPr="00435726">
              <w:rPr>
                <w:b/>
                <w:sz w:val="24"/>
              </w:rPr>
              <w:sym w:font="Wingdings 2" w:char="F050"/>
            </w:r>
          </w:p>
        </w:tc>
        <w:tc>
          <w:tcPr>
            <w:tcW w:w="543" w:type="pct"/>
            <w:tcBorders>
              <w:top w:val="single" w:sz="4" w:space="0" w:color="auto"/>
              <w:bottom w:val="single" w:sz="4" w:space="0" w:color="auto"/>
              <w:right w:val="single" w:sz="4" w:space="0" w:color="auto"/>
            </w:tcBorders>
            <w:vAlign w:val="center"/>
          </w:tcPr>
          <w:p w14:paraId="5F655B9C" w14:textId="70B7A6C8" w:rsidR="00E135B6" w:rsidRPr="00435726" w:rsidRDefault="00375334" w:rsidP="00034D4F">
            <w:pPr>
              <w:jc w:val="center"/>
              <w:rPr>
                <w:b/>
                <w:sz w:val="24"/>
              </w:rPr>
            </w:pPr>
            <w:r w:rsidRPr="00435726">
              <w:rPr>
                <w:b/>
                <w:sz w:val="24"/>
              </w:rPr>
              <w:sym w:font="Wingdings 2" w:char="F050"/>
            </w:r>
          </w:p>
        </w:tc>
        <w:tc>
          <w:tcPr>
            <w:tcW w:w="656" w:type="pct"/>
            <w:tcBorders>
              <w:top w:val="single" w:sz="4" w:space="0" w:color="auto"/>
              <w:left w:val="single" w:sz="4" w:space="0" w:color="auto"/>
              <w:bottom w:val="single" w:sz="4" w:space="0" w:color="auto"/>
              <w:right w:val="single" w:sz="4" w:space="0" w:color="auto"/>
            </w:tcBorders>
            <w:vAlign w:val="center"/>
          </w:tcPr>
          <w:p w14:paraId="4E785C05" w14:textId="4781F850" w:rsidR="00E135B6" w:rsidRPr="00435726" w:rsidRDefault="00375334" w:rsidP="00034D4F">
            <w:pPr>
              <w:jc w:val="center"/>
              <w:rPr>
                <w:b/>
                <w:sz w:val="24"/>
              </w:rPr>
            </w:pPr>
            <w:r w:rsidRPr="00435726">
              <w:rPr>
                <w:b/>
                <w:sz w:val="24"/>
              </w:rPr>
              <w:sym w:font="Wingdings 2" w:char="F050"/>
            </w:r>
          </w:p>
        </w:tc>
        <w:tc>
          <w:tcPr>
            <w:tcW w:w="784" w:type="pct"/>
            <w:tcBorders>
              <w:left w:val="single" w:sz="4" w:space="0" w:color="auto"/>
            </w:tcBorders>
            <w:vAlign w:val="center"/>
          </w:tcPr>
          <w:p w14:paraId="7A6EF851" w14:textId="77777777" w:rsidR="00E135B6" w:rsidRPr="00375334" w:rsidRDefault="00E135B6" w:rsidP="005A7939">
            <w:pPr>
              <w:jc w:val="center"/>
            </w:pPr>
            <w:r w:rsidRPr="00375334">
              <w:t>p.68</w:t>
            </w:r>
          </w:p>
        </w:tc>
      </w:tr>
    </w:tbl>
    <w:p w14:paraId="352BD3CA" w14:textId="77777777" w:rsidR="0074716B" w:rsidRPr="009F46DC" w:rsidRDefault="0074716B" w:rsidP="0074716B">
      <w:pPr>
        <w:keepNext/>
        <w:rPr>
          <w:i/>
        </w:rPr>
      </w:pPr>
      <w:r>
        <w:rPr>
          <w:i/>
        </w:rPr>
        <w:br w:type="page"/>
      </w:r>
      <w:r>
        <w:rPr>
          <w:i/>
        </w:rPr>
        <w:lastRenderedPageBreak/>
        <w:t>F</w:t>
      </w:r>
      <w:r w:rsidRPr="009F46DC">
        <w:rPr>
          <w:i/>
        </w:rPr>
        <w:t>urther Description of Program Requirements</w:t>
      </w:r>
    </w:p>
    <w:tbl>
      <w:tblPr>
        <w:tblStyle w:val="TableGrid"/>
        <w:tblpPr w:leftFromText="180" w:rightFromText="180" w:vertAnchor="text" w:tblpXSpec="righ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308"/>
      </w:tblGrid>
      <w:tr w:rsidR="0074716B" w14:paraId="67610C30" w14:textId="77777777" w:rsidTr="00912683">
        <w:tc>
          <w:tcPr>
            <w:tcW w:w="5000" w:type="pct"/>
            <w:gridSpan w:val="2"/>
            <w:shd w:val="clear" w:color="auto" w:fill="808080" w:themeFill="background1" w:themeFillShade="80"/>
            <w:vAlign w:val="center"/>
          </w:tcPr>
          <w:p w14:paraId="6D68C52C" w14:textId="77777777" w:rsidR="0074716B" w:rsidRPr="003D3D75" w:rsidRDefault="0074716B" w:rsidP="007208DA">
            <w:pPr>
              <w:jc w:val="center"/>
              <w:rPr>
                <w:color w:val="FFFFFF" w:themeColor="background1"/>
              </w:rPr>
            </w:pPr>
            <w:r w:rsidRPr="003D3D75">
              <w:rPr>
                <w:rFonts w:ascii="Calibri" w:hAnsi="Calibri"/>
                <w:color w:val="FFFFFF" w:themeColor="background1"/>
              </w:rPr>
              <w:t>Program Components</w:t>
            </w:r>
          </w:p>
        </w:tc>
      </w:tr>
      <w:tr w:rsidR="0074716B" w14:paraId="338CF666" w14:textId="77777777" w:rsidTr="00912683">
        <w:tc>
          <w:tcPr>
            <w:tcW w:w="1184" w:type="pct"/>
          </w:tcPr>
          <w:p w14:paraId="111D7A29" w14:textId="77777777" w:rsidR="0074716B" w:rsidRDefault="0074716B" w:rsidP="007208DA">
            <w:pPr>
              <w:rPr>
                <w:rFonts w:ascii="Calibri" w:hAnsi="Calibri"/>
                <w:b/>
              </w:rPr>
            </w:pPr>
            <w:r w:rsidRPr="00A27331">
              <w:rPr>
                <w:rFonts w:ascii="Calibri" w:hAnsi="Calibri"/>
                <w:b/>
              </w:rPr>
              <w:t xml:space="preserve">Provision of credit-bearing </w:t>
            </w:r>
            <w:r>
              <w:rPr>
                <w:rFonts w:ascii="Calibri" w:hAnsi="Calibri"/>
                <w:b/>
              </w:rPr>
              <w:t xml:space="preserve">college </w:t>
            </w:r>
            <w:r w:rsidRPr="00A27331">
              <w:rPr>
                <w:rFonts w:ascii="Calibri" w:hAnsi="Calibri"/>
                <w:b/>
              </w:rPr>
              <w:t xml:space="preserve">courses that build to credentials </w:t>
            </w:r>
            <w:r>
              <w:rPr>
                <w:rFonts w:ascii="Calibri" w:hAnsi="Calibri"/>
                <w:b/>
              </w:rPr>
              <w:t>and degrees</w:t>
            </w:r>
          </w:p>
          <w:p w14:paraId="32E43FE0" w14:textId="77777777" w:rsidR="0074716B" w:rsidRDefault="0074716B" w:rsidP="007208DA">
            <w:pPr>
              <w:rPr>
                <w:rFonts w:ascii="Calibri" w:hAnsi="Calibri"/>
                <w:b/>
              </w:rPr>
            </w:pPr>
          </w:p>
          <w:p w14:paraId="79734B10" w14:textId="77777777" w:rsidR="0074716B" w:rsidRDefault="0074716B" w:rsidP="007208DA">
            <w:pPr>
              <w:rPr>
                <w:rFonts w:ascii="Calibri" w:hAnsi="Calibri"/>
                <w:b/>
              </w:rPr>
            </w:pPr>
          </w:p>
          <w:p w14:paraId="5713AB15" w14:textId="77777777" w:rsidR="0074716B" w:rsidRDefault="0074716B" w:rsidP="007208DA">
            <w:pPr>
              <w:rPr>
                <w:rFonts w:ascii="Calibri" w:hAnsi="Calibri"/>
                <w:b/>
              </w:rPr>
            </w:pPr>
          </w:p>
          <w:p w14:paraId="289731A7" w14:textId="77777777" w:rsidR="0074716B" w:rsidRDefault="0074716B" w:rsidP="007208DA">
            <w:pPr>
              <w:rPr>
                <w:rFonts w:ascii="Calibri" w:hAnsi="Calibri"/>
                <w:b/>
              </w:rPr>
            </w:pPr>
          </w:p>
          <w:p w14:paraId="4B589228" w14:textId="77777777" w:rsidR="0074716B" w:rsidRDefault="0074716B" w:rsidP="007208DA">
            <w:pPr>
              <w:rPr>
                <w:rFonts w:ascii="Calibri" w:hAnsi="Calibri"/>
                <w:b/>
              </w:rPr>
            </w:pPr>
          </w:p>
          <w:p w14:paraId="1FEBF51B" w14:textId="77777777" w:rsidR="0074716B" w:rsidRDefault="0074716B" w:rsidP="007208DA">
            <w:pPr>
              <w:rPr>
                <w:rFonts w:ascii="Calibri" w:hAnsi="Calibri"/>
                <w:b/>
              </w:rPr>
            </w:pPr>
          </w:p>
          <w:p w14:paraId="3A26C7DA" w14:textId="77777777" w:rsidR="0074716B" w:rsidRDefault="0074716B" w:rsidP="007208DA">
            <w:pPr>
              <w:rPr>
                <w:rFonts w:ascii="Calibri" w:hAnsi="Calibri"/>
                <w:b/>
              </w:rPr>
            </w:pPr>
          </w:p>
          <w:p w14:paraId="7CCDD520" w14:textId="77777777" w:rsidR="0074716B" w:rsidRDefault="0074716B" w:rsidP="007208DA">
            <w:pPr>
              <w:rPr>
                <w:rFonts w:ascii="Calibri" w:hAnsi="Calibri"/>
                <w:b/>
              </w:rPr>
            </w:pPr>
          </w:p>
          <w:p w14:paraId="7F763225" w14:textId="77777777" w:rsidR="0074716B" w:rsidRDefault="0074716B" w:rsidP="007208DA">
            <w:pPr>
              <w:rPr>
                <w:rFonts w:ascii="Calibri" w:hAnsi="Calibri"/>
                <w:b/>
              </w:rPr>
            </w:pPr>
          </w:p>
          <w:p w14:paraId="746EA9A7" w14:textId="77777777" w:rsidR="0074716B" w:rsidRDefault="0074716B" w:rsidP="007208DA">
            <w:pPr>
              <w:rPr>
                <w:rFonts w:ascii="Calibri" w:hAnsi="Calibri"/>
                <w:b/>
              </w:rPr>
            </w:pPr>
          </w:p>
          <w:p w14:paraId="546F6161" w14:textId="77777777" w:rsidR="0074716B" w:rsidRDefault="0074716B" w:rsidP="007208DA">
            <w:pPr>
              <w:rPr>
                <w:rFonts w:ascii="Calibri" w:hAnsi="Calibri"/>
                <w:b/>
              </w:rPr>
            </w:pPr>
          </w:p>
          <w:p w14:paraId="4FF7ADDD" w14:textId="77777777" w:rsidR="0074716B" w:rsidRDefault="0074716B" w:rsidP="007208DA">
            <w:pPr>
              <w:rPr>
                <w:rFonts w:ascii="Calibri" w:hAnsi="Calibri"/>
                <w:b/>
              </w:rPr>
            </w:pPr>
          </w:p>
          <w:p w14:paraId="05F81C76" w14:textId="77777777" w:rsidR="0074716B" w:rsidRDefault="0074716B" w:rsidP="007208DA">
            <w:pPr>
              <w:rPr>
                <w:rFonts w:ascii="Calibri" w:hAnsi="Calibri"/>
                <w:b/>
              </w:rPr>
            </w:pPr>
          </w:p>
          <w:p w14:paraId="1A68A161" w14:textId="77777777" w:rsidR="0074716B" w:rsidRDefault="0074716B" w:rsidP="007208DA">
            <w:pPr>
              <w:rPr>
                <w:rFonts w:ascii="Calibri" w:hAnsi="Calibri"/>
                <w:b/>
              </w:rPr>
            </w:pPr>
          </w:p>
          <w:p w14:paraId="3B03B6CB" w14:textId="77777777" w:rsidR="0074716B" w:rsidRPr="00C12363" w:rsidRDefault="0074716B" w:rsidP="007208DA">
            <w:pPr>
              <w:rPr>
                <w:rFonts w:ascii="Calibri" w:hAnsi="Calibri"/>
                <w:b/>
              </w:rPr>
            </w:pPr>
            <w:r>
              <w:rPr>
                <w:rFonts w:ascii="Calibri" w:hAnsi="Calibri"/>
                <w:b/>
              </w:rPr>
              <w:t>Structured support for students to keep them on a pathway to credentials and degrees</w:t>
            </w:r>
          </w:p>
          <w:p w14:paraId="18885833" w14:textId="77777777" w:rsidR="0074716B" w:rsidRPr="00A27331" w:rsidRDefault="0074716B" w:rsidP="007208DA">
            <w:pPr>
              <w:rPr>
                <w:b/>
              </w:rPr>
            </w:pPr>
          </w:p>
        </w:tc>
        <w:tc>
          <w:tcPr>
            <w:tcW w:w="3816" w:type="pct"/>
          </w:tcPr>
          <w:p w14:paraId="41AC56D2" w14:textId="77777777" w:rsidR="0074716B" w:rsidRDefault="0074716B" w:rsidP="00912683">
            <w:r>
              <w:t>Strong p</w:t>
            </w:r>
            <w:r w:rsidRPr="00937FC7">
              <w:t>rogra</w:t>
            </w:r>
            <w:r>
              <w:t xml:space="preserve">ms provide meaningful credits that build </w:t>
            </w:r>
            <w:r w:rsidRPr="00937FC7">
              <w:t xml:space="preserve">toward specific credentials, whether those are </w:t>
            </w:r>
            <w:r w:rsidRPr="00295577">
              <w:t>career technical certificates,</w:t>
            </w:r>
            <w:r w:rsidRPr="00937FC7">
              <w:t xml:space="preserve"> Associate’s degrees, Bachelor’s degrees</w:t>
            </w:r>
            <w:r>
              <w:t>,</w:t>
            </w:r>
            <w:r w:rsidRPr="00937FC7">
              <w:t xml:space="preserve"> or beyond. </w:t>
            </w:r>
            <w:r>
              <w:rPr>
                <w:rFonts w:eastAsia="Times New Roman" w:cs="Times New Roman"/>
              </w:rPr>
              <w:t xml:space="preserve">The emphasis of Renewing Communities is on building avenues to social mobility through higher education. All proposals must demonstrate a pathway to a degree or credential. As a general rule, programs that offer isolated career training or CTE certificates, without stackable credentials or demonstrated opportunities for greater educational achievement, will not be funded. Any proposal seeking funding for CTE programs must show the viability of that pathway and career for people with prior convictions. </w:t>
            </w:r>
            <w:r w:rsidRPr="00937FC7">
              <w:t>Stackable credentials account for the challenges faced by criminal justice-involved students by allowing students to stop and start as needed, while laying the groundwork for these same students to return to school, complete their studies and t</w:t>
            </w:r>
            <w:r>
              <w:t xml:space="preserve">ransfer for additional degrees. </w:t>
            </w:r>
            <w:r w:rsidRPr="006E62AB">
              <w:t xml:space="preserve">Recognizing that students may need to transfer to a new college in order to persist through to credential completion, programs should incorporate transferable courses whenever possible. Both academic and career-oriented programs should be cognizant of employment barriers that students with criminal records may face and design programs accordingly. </w:t>
            </w:r>
          </w:p>
          <w:p w14:paraId="05F6BEB7" w14:textId="77777777" w:rsidR="0074716B" w:rsidRPr="00912683" w:rsidRDefault="0074716B" w:rsidP="007208DA">
            <w:pPr>
              <w:rPr>
                <w:sz w:val="20"/>
                <w:szCs w:val="20"/>
              </w:rPr>
            </w:pPr>
          </w:p>
          <w:p w14:paraId="65FF1612" w14:textId="06BF4EDF" w:rsidR="0074716B" w:rsidRDefault="0074716B" w:rsidP="00912683">
            <w:r>
              <w:t>Although programs for formerly incarcerated students will generally not directly provide academic courses and credit, such programs need to provide</w:t>
            </w:r>
            <w:r w:rsidR="00012201">
              <w:t xml:space="preserve"> </w:t>
            </w:r>
            <w:r>
              <w:t xml:space="preserve"> structured support that will keep participating students on a pathway to a high-quality credential or degree. This support includes academic and non-academic support services and the development of soft skills. </w:t>
            </w:r>
          </w:p>
          <w:p w14:paraId="12AA8A6B" w14:textId="2BEFA516" w:rsidR="0074716B" w:rsidRPr="00B23026" w:rsidRDefault="0074716B" w:rsidP="007208DA"/>
        </w:tc>
      </w:tr>
      <w:tr w:rsidR="0074716B" w14:paraId="0319B1CF" w14:textId="77777777" w:rsidTr="00912683">
        <w:tc>
          <w:tcPr>
            <w:tcW w:w="1184" w:type="pct"/>
          </w:tcPr>
          <w:p w14:paraId="41D5847E" w14:textId="77777777" w:rsidR="0074716B" w:rsidRPr="00A27331" w:rsidRDefault="0074716B" w:rsidP="007208DA">
            <w:pPr>
              <w:rPr>
                <w:b/>
              </w:rPr>
            </w:pPr>
            <w:r w:rsidRPr="00A27331">
              <w:rPr>
                <w:b/>
              </w:rPr>
              <w:t>In-person course delivery and/or interactive distance education</w:t>
            </w:r>
          </w:p>
        </w:tc>
        <w:tc>
          <w:tcPr>
            <w:tcW w:w="3816" w:type="pct"/>
          </w:tcPr>
          <w:p w14:paraId="37489CA8" w14:textId="77777777" w:rsidR="0074716B" w:rsidRDefault="0074716B" w:rsidP="00912683">
            <w:r w:rsidRPr="00B23026">
              <w:t xml:space="preserve">In-person, classroom-based </w:t>
            </w:r>
            <w:r>
              <w:t>instruction</w:t>
            </w:r>
            <w:r w:rsidRPr="00B23026">
              <w:t xml:space="preserve"> foster</w:t>
            </w:r>
            <w:r>
              <w:t>s</w:t>
            </w:r>
            <w:r w:rsidRPr="00B23026">
              <w:t xml:space="preserve"> interaction and analytical discussion among teachers and students and help</w:t>
            </w:r>
            <w:r>
              <w:t>s</w:t>
            </w:r>
            <w:r w:rsidRPr="00B23026">
              <w:t xml:space="preserve"> improve outcomes for underprepared and educa</w:t>
            </w:r>
            <w:r>
              <w:t>tionally disadvantaged students. Proposals for prison-based programs</w:t>
            </w:r>
            <w:r w:rsidRPr="00B23026">
              <w:t xml:space="preserve"> should </w:t>
            </w:r>
            <w:r>
              <w:t>provide in-person courses</w:t>
            </w:r>
            <w:r w:rsidRPr="00B23026">
              <w:t xml:space="preserve"> wherever possible.</w:t>
            </w:r>
            <w:r>
              <w:t xml:space="preserve"> Applicants proposing alternatives to in-person programs are required to demonstrate why in-person course delivery is not feasible in their circumstances.</w:t>
            </w:r>
            <w:r w:rsidRPr="00B23026">
              <w:t xml:space="preserve"> </w:t>
            </w:r>
            <w:r>
              <w:t xml:space="preserve">If </w:t>
            </w:r>
            <w:r w:rsidRPr="00B23026">
              <w:t>distance courses and programs are necessary, real-time interaction between teachers and stud</w:t>
            </w:r>
            <w:r>
              <w:t xml:space="preserve">ents through on-line platforms, on-site </w:t>
            </w:r>
            <w:r w:rsidRPr="00B23026">
              <w:t>individual tutoring sessions</w:t>
            </w:r>
            <w:r>
              <w:t xml:space="preserve"> to supplement distance course delivery</w:t>
            </w:r>
            <w:r w:rsidRPr="00B23026">
              <w:t xml:space="preserve">, </w:t>
            </w:r>
            <w:r>
              <w:t>and/</w:t>
            </w:r>
            <w:r w:rsidRPr="00B23026">
              <w:t xml:space="preserve">or other evidence-based mechanisms </w:t>
            </w:r>
            <w:r>
              <w:t>must</w:t>
            </w:r>
            <w:r w:rsidRPr="00B23026">
              <w:t xml:space="preserve"> be provided.</w:t>
            </w:r>
          </w:p>
          <w:p w14:paraId="77AEAC6C" w14:textId="77777777" w:rsidR="0074716B" w:rsidRPr="00B23026" w:rsidRDefault="0074716B" w:rsidP="007208DA"/>
        </w:tc>
      </w:tr>
      <w:tr w:rsidR="0074716B" w14:paraId="591CF3EF" w14:textId="77777777" w:rsidTr="00912683">
        <w:tc>
          <w:tcPr>
            <w:tcW w:w="1184" w:type="pct"/>
          </w:tcPr>
          <w:p w14:paraId="0BC70E5F" w14:textId="77777777" w:rsidR="0074716B" w:rsidRPr="00A27331" w:rsidRDefault="0074716B" w:rsidP="007208DA">
            <w:pPr>
              <w:rPr>
                <w:b/>
              </w:rPr>
            </w:pPr>
            <w:r w:rsidRPr="00A27331">
              <w:rPr>
                <w:b/>
              </w:rPr>
              <w:t>Plan for providing academic and non-academic support services</w:t>
            </w:r>
          </w:p>
        </w:tc>
        <w:tc>
          <w:tcPr>
            <w:tcW w:w="3816" w:type="pct"/>
          </w:tcPr>
          <w:p w14:paraId="6E7F0084" w14:textId="77777777" w:rsidR="0074716B" w:rsidRDefault="0074716B" w:rsidP="00912683">
            <w:r>
              <w:t xml:space="preserve">Support services are vital to student success. Important academic support services include academic counseling, tutoring, and soft skills development. Other types of support services that successful programs incorporate include career, admissions, and financial counseling that is sensitive to the unique needs of currently and formerly incarcerated students. Jail programs should additionally plan for assisting students in continuing their education post release. Some of these services are best provided by qualified college staff; whereas others such as tutoring may be provided by trained peer tutors. </w:t>
            </w:r>
          </w:p>
          <w:p w14:paraId="1943CD05" w14:textId="77777777" w:rsidR="0074716B" w:rsidRPr="00B23026" w:rsidRDefault="0074716B" w:rsidP="007208DA"/>
        </w:tc>
      </w:tr>
      <w:tr w:rsidR="0074716B" w14:paraId="5EF93490" w14:textId="77777777" w:rsidTr="00912683">
        <w:tc>
          <w:tcPr>
            <w:tcW w:w="1184" w:type="pct"/>
          </w:tcPr>
          <w:p w14:paraId="46C6FDBA" w14:textId="77777777" w:rsidR="0074716B" w:rsidRPr="00A27331" w:rsidRDefault="0074716B" w:rsidP="003D282B">
            <w:pPr>
              <w:rPr>
                <w:b/>
              </w:rPr>
            </w:pPr>
            <w:r>
              <w:rPr>
                <w:b/>
              </w:rPr>
              <w:lastRenderedPageBreak/>
              <w:t>Assessment and a plan for college readiness courses where necessary</w:t>
            </w:r>
          </w:p>
        </w:tc>
        <w:tc>
          <w:tcPr>
            <w:tcW w:w="3816" w:type="pct"/>
          </w:tcPr>
          <w:p w14:paraId="5B00A39B" w14:textId="77777777" w:rsidR="0074716B" w:rsidRPr="000F0981" w:rsidRDefault="0074716B" w:rsidP="00912683">
            <w:r w:rsidRPr="000F0981">
              <w:t>Accurately determining whether a student is ready to begin a given credential program upholds high-quality academic standards, minimizes student frustration, and uses funds efficiently. For students who are underprepared, a robust and effective college readiness component that allows</w:t>
            </w:r>
            <w:r>
              <w:t xml:space="preserve"> them</w:t>
            </w:r>
            <w:r w:rsidRPr="000F0981">
              <w:t xml:space="preserve"> to maintain momentum and </w:t>
            </w:r>
            <w:r>
              <w:t>move</w:t>
            </w:r>
            <w:r w:rsidRPr="000F0981">
              <w:t xml:space="preserve"> quickly to college-level work is vital</w:t>
            </w:r>
            <w:r>
              <w:t xml:space="preserve"> to success</w:t>
            </w:r>
            <w:r w:rsidRPr="000F0981">
              <w:t xml:space="preserve">. Short intensive </w:t>
            </w:r>
            <w:r>
              <w:t xml:space="preserve">readiness </w:t>
            </w:r>
            <w:r w:rsidRPr="000F0981">
              <w:t>programs are especially relevant in jail contexts, where students have access to progra</w:t>
            </w:r>
            <w:r>
              <w:t>ms for briefer periods of time.</w:t>
            </w:r>
          </w:p>
          <w:p w14:paraId="429165BF" w14:textId="77777777" w:rsidR="0074716B" w:rsidRDefault="0074716B" w:rsidP="007208DA"/>
        </w:tc>
      </w:tr>
      <w:tr w:rsidR="0074716B" w14:paraId="50B1371F" w14:textId="77777777" w:rsidTr="00912683">
        <w:tc>
          <w:tcPr>
            <w:tcW w:w="1184" w:type="pct"/>
          </w:tcPr>
          <w:p w14:paraId="196272E6" w14:textId="77777777" w:rsidR="0074716B" w:rsidRPr="00A27331" w:rsidRDefault="0074716B" w:rsidP="005202FE">
            <w:pPr>
              <w:keepNext/>
              <w:keepLines/>
              <w:rPr>
                <w:b/>
              </w:rPr>
            </w:pPr>
            <w:r w:rsidRPr="00A27331">
              <w:rPr>
                <w:b/>
              </w:rPr>
              <w:t>Plan for developing soft skills</w:t>
            </w:r>
          </w:p>
          <w:p w14:paraId="70DE9B52" w14:textId="77777777" w:rsidR="0074716B" w:rsidRPr="00A27331" w:rsidRDefault="0074716B" w:rsidP="007208DA">
            <w:pPr>
              <w:rPr>
                <w:b/>
              </w:rPr>
            </w:pPr>
          </w:p>
        </w:tc>
        <w:tc>
          <w:tcPr>
            <w:tcW w:w="3816" w:type="pct"/>
          </w:tcPr>
          <w:p w14:paraId="239D1376" w14:textId="77777777" w:rsidR="0074716B" w:rsidRDefault="0074716B" w:rsidP="00912683">
            <w:r>
              <w:t>Soft</w:t>
            </w:r>
            <w:r w:rsidRPr="00831415">
              <w:t xml:space="preserve"> skills – like persistence, resilience, self-confidence, and effective communication – are essential to success both in college and the labor market. Programs should incorporate </w:t>
            </w:r>
            <w:r>
              <w:t>soft skills development</w:t>
            </w:r>
            <w:r w:rsidRPr="00831415">
              <w:t>. Strategies may include</w:t>
            </w:r>
            <w:r>
              <w:t xml:space="preserve"> bridge courses for new students, </w:t>
            </w:r>
            <w:r w:rsidRPr="00831415">
              <w:t>cultivation of student leadership in classrooms</w:t>
            </w:r>
            <w:r>
              <w:t xml:space="preserve">, </w:t>
            </w:r>
            <w:r w:rsidRPr="00831415">
              <w:t>incorporation of study skills and life skills into college readiness courses</w:t>
            </w:r>
            <w:r>
              <w:t>,</w:t>
            </w:r>
            <w:r w:rsidRPr="00831415">
              <w:t xml:space="preserve"> c</w:t>
            </w:r>
            <w:r>
              <w:t>ohort or peer mentoring models, and</w:t>
            </w:r>
            <w:r w:rsidRPr="00831415">
              <w:t xml:space="preserve"> social-psychological interventions (i.e., brief exercises that address students’ thoughts and feelings about education, including their schooling histories and belief</w:t>
            </w:r>
            <w:r>
              <w:t>s about their own capabilities).</w:t>
            </w:r>
          </w:p>
          <w:p w14:paraId="26F99AB7" w14:textId="77777777" w:rsidR="00912683" w:rsidRPr="00B23026" w:rsidRDefault="00912683" w:rsidP="004F37A1">
            <w:pPr>
              <w:spacing w:after="120"/>
            </w:pPr>
          </w:p>
        </w:tc>
      </w:tr>
      <w:tr w:rsidR="0074716B" w14:paraId="4255B102" w14:textId="77777777" w:rsidTr="00912683">
        <w:tc>
          <w:tcPr>
            <w:tcW w:w="5000" w:type="pct"/>
            <w:gridSpan w:val="2"/>
            <w:shd w:val="clear" w:color="auto" w:fill="808080" w:themeFill="background1" w:themeFillShade="80"/>
            <w:vAlign w:val="center"/>
          </w:tcPr>
          <w:p w14:paraId="399C7588" w14:textId="77777777" w:rsidR="0074716B" w:rsidRPr="00A27331" w:rsidRDefault="0074716B" w:rsidP="007208DA">
            <w:pPr>
              <w:jc w:val="center"/>
              <w:rPr>
                <w:b/>
                <w:color w:val="FFFFFF" w:themeColor="background1"/>
              </w:rPr>
            </w:pPr>
            <w:r w:rsidRPr="00A27331">
              <w:rPr>
                <w:b/>
                <w:color w:val="FFFFFF" w:themeColor="background1"/>
              </w:rPr>
              <w:t>Staffing</w:t>
            </w:r>
          </w:p>
        </w:tc>
      </w:tr>
      <w:tr w:rsidR="0074716B" w14:paraId="743505A6" w14:textId="77777777" w:rsidTr="00912683">
        <w:tc>
          <w:tcPr>
            <w:tcW w:w="1184" w:type="pct"/>
          </w:tcPr>
          <w:p w14:paraId="6C7461F4" w14:textId="77777777" w:rsidR="0074716B" w:rsidRPr="00A27331" w:rsidRDefault="0074716B" w:rsidP="008227A1">
            <w:pPr>
              <w:rPr>
                <w:b/>
              </w:rPr>
            </w:pPr>
            <w:r>
              <w:rPr>
                <w:b/>
              </w:rPr>
              <w:t>P</w:t>
            </w:r>
            <w:r w:rsidRPr="001A07C7">
              <w:rPr>
                <w:b/>
              </w:rPr>
              <w:t xml:space="preserve">rogram </w:t>
            </w:r>
            <w:r>
              <w:rPr>
                <w:b/>
              </w:rPr>
              <w:t>director</w:t>
            </w:r>
            <w:r w:rsidRPr="001A07C7">
              <w:rPr>
                <w:b/>
              </w:rPr>
              <w:t xml:space="preserve"> </w:t>
            </w:r>
            <w:r>
              <w:rPr>
                <w:b/>
              </w:rPr>
              <w:t>and support staff</w:t>
            </w:r>
          </w:p>
        </w:tc>
        <w:tc>
          <w:tcPr>
            <w:tcW w:w="3816" w:type="pct"/>
          </w:tcPr>
          <w:p w14:paraId="47DED1BD" w14:textId="77777777" w:rsidR="0074716B" w:rsidRDefault="0074716B" w:rsidP="00912683">
            <w:r>
              <w:t>Programs</w:t>
            </w:r>
            <w:r w:rsidRPr="003069C2">
              <w:t xml:space="preserve"> need </w:t>
            </w:r>
            <w:r>
              <w:t>committed and experienced</w:t>
            </w:r>
            <w:r w:rsidRPr="003069C2">
              <w:t xml:space="preserve"> program </w:t>
            </w:r>
            <w:r>
              <w:t>directors as well as support staff at the college or community-based organization. Staff must have sufficient time allocated to ensure successful operation and to</w:t>
            </w:r>
            <w:r w:rsidRPr="003069C2">
              <w:t xml:space="preserve"> build sustainability so the program survives turnover in leadership</w:t>
            </w:r>
            <w:r>
              <w:t xml:space="preserve"> and moves toward institutionalization, where possible</w:t>
            </w:r>
            <w:r w:rsidRPr="003069C2">
              <w:t xml:space="preserve">. </w:t>
            </w:r>
            <w:r>
              <w:t>P</w:t>
            </w:r>
            <w:r w:rsidRPr="003069C2">
              <w:t xml:space="preserve">rogram </w:t>
            </w:r>
            <w:r>
              <w:t>directors</w:t>
            </w:r>
            <w:r w:rsidRPr="003069C2">
              <w:t xml:space="preserve"> manage staff, including instructors and office-based administrative support personnel, to ensure continuity of knowledge and service. They interface with other departments within the college to guarantee students have access to academic and non-academic support services. They also navigate important relationships with corrections leadership to ensure the success of their programs. These </w:t>
            </w:r>
            <w:r>
              <w:t>directors</w:t>
            </w:r>
            <w:r w:rsidRPr="003069C2">
              <w:t xml:space="preserve"> can also serve as vital gatekeepers, ensuring high standards for the quality of teaching and student achievement. </w:t>
            </w:r>
          </w:p>
          <w:p w14:paraId="4A21227E" w14:textId="77777777" w:rsidR="0074716B" w:rsidRPr="002B4029" w:rsidRDefault="0074716B" w:rsidP="007208DA"/>
        </w:tc>
      </w:tr>
      <w:tr w:rsidR="0074716B" w14:paraId="7FF0572A" w14:textId="77777777" w:rsidTr="00912683">
        <w:trPr>
          <w:trHeight w:val="4104"/>
        </w:trPr>
        <w:tc>
          <w:tcPr>
            <w:tcW w:w="1184" w:type="pct"/>
          </w:tcPr>
          <w:p w14:paraId="3126B541" w14:textId="77777777" w:rsidR="0074716B" w:rsidRPr="00A27331" w:rsidRDefault="0074716B" w:rsidP="007208DA">
            <w:pPr>
              <w:rPr>
                <w:b/>
              </w:rPr>
            </w:pPr>
            <w:r w:rsidRPr="001A07C7">
              <w:rPr>
                <w:b/>
              </w:rPr>
              <w:t>Plan for professional development</w:t>
            </w:r>
          </w:p>
          <w:p w14:paraId="35045382" w14:textId="77777777" w:rsidR="0074716B" w:rsidRPr="00A27331" w:rsidRDefault="0074716B" w:rsidP="007208DA">
            <w:pPr>
              <w:rPr>
                <w:b/>
              </w:rPr>
            </w:pPr>
          </w:p>
        </w:tc>
        <w:tc>
          <w:tcPr>
            <w:tcW w:w="3816" w:type="pct"/>
          </w:tcPr>
          <w:p w14:paraId="4C1F5CE0" w14:textId="6E50C01F" w:rsidR="00912683" w:rsidRDefault="0074716B" w:rsidP="00912683">
            <w:r w:rsidRPr="002B4029">
              <w:t xml:space="preserve">Program faculty and staff benefit both from initial training and from ongoing professional development, catered toward the specific challenges of teaching and supporting students in a </w:t>
            </w:r>
            <w:r w:rsidRPr="009F46DC">
              <w:t>correctional environment or criminal justice-inv</w:t>
            </w:r>
            <w:r>
              <w:t>olved students in the community</w:t>
            </w:r>
            <w:r w:rsidRPr="002B4029">
              <w:t xml:space="preserve">. By continuously refining procedures and instructional practices, programs can avoid or mitigate conflicts with criminal justice agencies and better promote student success. Programs should support professional learning communities among their </w:t>
            </w:r>
            <w:r>
              <w:t xml:space="preserve">instructors that will provide </w:t>
            </w:r>
            <w:r w:rsidRPr="002B4029">
              <w:t>opportunities to share strategies</w:t>
            </w:r>
            <w:r>
              <w:t xml:space="preserve"> and address common challenges. The Opportunity Institute will provide some opportunities for professional development during the course of the initiative.</w:t>
            </w:r>
          </w:p>
          <w:p w14:paraId="0204745A" w14:textId="6E50C01F" w:rsidR="00912683" w:rsidRPr="00B23026" w:rsidRDefault="00912683" w:rsidP="00912683"/>
        </w:tc>
      </w:tr>
      <w:tr w:rsidR="0074716B" w14:paraId="1B7FC221" w14:textId="77777777" w:rsidTr="00912683">
        <w:tc>
          <w:tcPr>
            <w:tcW w:w="5000" w:type="pct"/>
            <w:gridSpan w:val="2"/>
            <w:shd w:val="clear" w:color="auto" w:fill="808080" w:themeFill="background1" w:themeFillShade="80"/>
            <w:vAlign w:val="center"/>
          </w:tcPr>
          <w:p w14:paraId="424CE87C" w14:textId="77777777" w:rsidR="0074716B" w:rsidRPr="00A27331" w:rsidRDefault="0074716B" w:rsidP="007208DA">
            <w:pPr>
              <w:jc w:val="center"/>
              <w:rPr>
                <w:b/>
                <w:color w:val="FFFFFF" w:themeColor="background1"/>
              </w:rPr>
            </w:pPr>
            <w:r w:rsidRPr="00A27331">
              <w:rPr>
                <w:b/>
                <w:color w:val="FFFFFF" w:themeColor="background1"/>
              </w:rPr>
              <w:lastRenderedPageBreak/>
              <w:t>Partnerships</w:t>
            </w:r>
          </w:p>
        </w:tc>
      </w:tr>
      <w:tr w:rsidR="0074716B" w14:paraId="25FECB88" w14:textId="77777777" w:rsidTr="00912683">
        <w:tc>
          <w:tcPr>
            <w:tcW w:w="1184" w:type="pct"/>
          </w:tcPr>
          <w:p w14:paraId="0F4720BE" w14:textId="77777777" w:rsidR="0074716B" w:rsidRPr="00A27331" w:rsidRDefault="0074716B" w:rsidP="006E1BBB">
            <w:pPr>
              <w:rPr>
                <w:b/>
              </w:rPr>
            </w:pPr>
            <w:r w:rsidRPr="00A27331">
              <w:rPr>
                <w:rFonts w:ascii="Calibri" w:hAnsi="Calibri"/>
                <w:b/>
              </w:rPr>
              <w:t>Commitment from relevant educational, correctional, reentry</w:t>
            </w:r>
            <w:r>
              <w:rPr>
                <w:rFonts w:ascii="Calibri" w:hAnsi="Calibri"/>
                <w:b/>
              </w:rPr>
              <w:t>, and/or social service</w:t>
            </w:r>
            <w:r w:rsidRPr="00A27331">
              <w:rPr>
                <w:rFonts w:ascii="Calibri" w:hAnsi="Calibri"/>
                <w:b/>
              </w:rPr>
              <w:t xml:space="preserve"> partners</w:t>
            </w:r>
          </w:p>
        </w:tc>
        <w:tc>
          <w:tcPr>
            <w:tcW w:w="3816" w:type="pct"/>
          </w:tcPr>
          <w:p w14:paraId="36BFC7B4" w14:textId="77777777" w:rsidR="0074716B" w:rsidRDefault="0074716B" w:rsidP="00912683">
            <w:pPr>
              <w:rPr>
                <w:rFonts w:ascii="Calibri" w:hAnsi="Calibri"/>
              </w:rPr>
            </w:pPr>
            <w:r>
              <w:t>Strong proposals will include relationships between relevant educational, correctional, reentry, and/or social services partners</w:t>
            </w:r>
            <w:r>
              <w:rPr>
                <w:rFonts w:ascii="Calibri" w:hAnsi="Calibri"/>
              </w:rPr>
              <w:t xml:space="preserve"> (e.g., state prison, county jail, Sheriff’s Department, Probation or Parole, local reentry, and/or government organizations). Figure 18 on page 67 of </w:t>
            </w:r>
            <w:r>
              <w:rPr>
                <w:rFonts w:ascii="Calibri" w:hAnsi="Calibri"/>
                <w:i/>
              </w:rPr>
              <w:t>Degrees of Freedom</w:t>
            </w:r>
            <w:r>
              <w:rPr>
                <w:rFonts w:ascii="Calibri" w:hAnsi="Calibri"/>
              </w:rPr>
              <w:t xml:space="preserve"> presents examples of responsibilities of various potential partners. Although formal memoranda of understanding (MOUs) are not required in applications, they may be illustrative of these relationships</w:t>
            </w:r>
            <w:r w:rsidR="00012201">
              <w:rPr>
                <w:rFonts w:ascii="Calibri" w:hAnsi="Calibri"/>
              </w:rPr>
              <w:t>. Formal MOUs will be required as part of the contract process for applicants awarded funding</w:t>
            </w:r>
            <w:r>
              <w:rPr>
                <w:rFonts w:ascii="Calibri" w:hAnsi="Calibri"/>
              </w:rPr>
              <w:t>.</w:t>
            </w:r>
          </w:p>
          <w:p w14:paraId="765D2472" w14:textId="77777777" w:rsidR="0074716B" w:rsidRDefault="0074716B" w:rsidP="007208DA">
            <w:pPr>
              <w:rPr>
                <w:rFonts w:ascii="Calibri" w:hAnsi="Calibri"/>
              </w:rPr>
            </w:pPr>
          </w:p>
          <w:p w14:paraId="6E4C245E" w14:textId="77777777" w:rsidR="0074716B" w:rsidRPr="008D6DA6" w:rsidRDefault="0074716B" w:rsidP="00912683">
            <w:r w:rsidRPr="00412488">
              <w:rPr>
                <w:i/>
              </w:rPr>
              <w:t xml:space="preserve">Required and Recommended Partners: </w:t>
            </w:r>
            <w:r w:rsidRPr="00412488">
              <w:t xml:space="preserve">All programs should </w:t>
            </w:r>
            <w:r w:rsidRPr="00131FAF">
              <w:t>include at least one institution of hig</w:t>
            </w:r>
            <w:r>
              <w:t>her education. P</w:t>
            </w:r>
            <w:r w:rsidRPr="00131FAF">
              <w:t>rison programs should additionally include as a p</w:t>
            </w:r>
            <w:r>
              <w:t xml:space="preserve">artner at least one California state prison. Jail programs </w:t>
            </w:r>
            <w:r w:rsidRPr="00131FAF">
              <w:t>should include at least one county jail facility in California and are strongly encouraged to include the local probation department. Community programs should</w:t>
            </w:r>
            <w:r>
              <w:t xml:space="preserve"> consider collaboration with the sheriff, jail, probation and/or parole. All programs should consider</w:t>
            </w:r>
            <w:r w:rsidRPr="00131FAF">
              <w:t xml:space="preserve"> collaborations with </w:t>
            </w:r>
            <w:r w:rsidRPr="00412488">
              <w:t>reentry</w:t>
            </w:r>
            <w:r>
              <w:t xml:space="preserve"> and social service</w:t>
            </w:r>
            <w:r w:rsidRPr="00412488">
              <w:t xml:space="preserve"> organizations.</w:t>
            </w:r>
          </w:p>
          <w:p w14:paraId="7A1C2D32" w14:textId="77777777" w:rsidR="0074716B" w:rsidRPr="0083223C" w:rsidRDefault="0074716B" w:rsidP="007208DA"/>
        </w:tc>
      </w:tr>
      <w:tr w:rsidR="0074716B" w14:paraId="47D9EB54" w14:textId="77777777" w:rsidTr="00912683">
        <w:tc>
          <w:tcPr>
            <w:tcW w:w="1184" w:type="pct"/>
          </w:tcPr>
          <w:p w14:paraId="3AD2D754" w14:textId="77777777" w:rsidR="0074716B" w:rsidRDefault="0074716B" w:rsidP="00BF539F">
            <w:pPr>
              <w:rPr>
                <w:b/>
              </w:rPr>
            </w:pPr>
            <w:r w:rsidRPr="00BF539F">
              <w:rPr>
                <w:b/>
              </w:rPr>
              <w:t>Responsiveness to students’ needs when reentering the community</w:t>
            </w:r>
          </w:p>
          <w:p w14:paraId="459B90D3" w14:textId="77777777" w:rsidR="0074716B" w:rsidRPr="00A27331" w:rsidRDefault="0074716B" w:rsidP="00BF539F">
            <w:pPr>
              <w:rPr>
                <w:b/>
              </w:rPr>
            </w:pPr>
          </w:p>
        </w:tc>
        <w:tc>
          <w:tcPr>
            <w:tcW w:w="3816" w:type="pct"/>
          </w:tcPr>
          <w:p w14:paraId="7C0FCA49" w14:textId="77777777" w:rsidR="0074716B" w:rsidRPr="0083223C" w:rsidRDefault="0074716B" w:rsidP="00912683">
            <w:r w:rsidRPr="0083223C">
              <w:t>Currently and formerly incarcerated students face unique challenges in pursuing their educational and career goals because of their criminal justice involvement. In particular, achieving reentry stability – for example, finding stable housing and employment and learning financial literacy – is often a formidable challenge</w:t>
            </w:r>
            <w:r>
              <w:t>. The lack of such stability can compromise academic achievement</w:t>
            </w:r>
            <w:r w:rsidRPr="0083223C">
              <w:t xml:space="preserve">. </w:t>
            </w:r>
            <w:r>
              <w:t>All p</w:t>
            </w:r>
            <w:r w:rsidRPr="0083223C">
              <w:t xml:space="preserve">rograms </w:t>
            </w:r>
            <w:r>
              <w:t xml:space="preserve">should identify the reentry needs anticipated to be faced by participant students, how those needs will be addressed, and how those needs might affect or interfere with students’ educational goals. On-campus </w:t>
            </w:r>
            <w:r w:rsidRPr="0083223C">
              <w:t xml:space="preserve">college programs </w:t>
            </w:r>
            <w:r>
              <w:t xml:space="preserve">in particular </w:t>
            </w:r>
            <w:r w:rsidRPr="0083223C">
              <w:t xml:space="preserve">should be aware of the resources available and connect students to community-based or local government agencies providing </w:t>
            </w:r>
            <w:r>
              <w:t>social and legal services</w:t>
            </w:r>
            <w:r w:rsidRPr="0083223C">
              <w:t xml:space="preserve">. </w:t>
            </w:r>
          </w:p>
          <w:p w14:paraId="04D05858" w14:textId="77777777" w:rsidR="0074716B" w:rsidRPr="0083223C" w:rsidRDefault="0074716B" w:rsidP="007208DA"/>
        </w:tc>
      </w:tr>
      <w:tr w:rsidR="0074716B" w14:paraId="6D5F3DB5" w14:textId="77777777" w:rsidTr="008146E1">
        <w:trPr>
          <w:trHeight w:val="4707"/>
        </w:trPr>
        <w:tc>
          <w:tcPr>
            <w:tcW w:w="1184" w:type="pct"/>
          </w:tcPr>
          <w:p w14:paraId="0E25DAAC" w14:textId="77777777" w:rsidR="0074716B" w:rsidRPr="00A27331" w:rsidRDefault="0074716B" w:rsidP="007208DA">
            <w:pPr>
              <w:rPr>
                <w:b/>
              </w:rPr>
            </w:pPr>
            <w:r>
              <w:rPr>
                <w:rFonts w:ascii="Calibri" w:hAnsi="Calibri"/>
                <w:b/>
              </w:rPr>
              <w:t>On-ramps from corrections to education</w:t>
            </w:r>
          </w:p>
        </w:tc>
        <w:tc>
          <w:tcPr>
            <w:tcW w:w="3816" w:type="pct"/>
          </w:tcPr>
          <w:p w14:paraId="5D42B433" w14:textId="77777777" w:rsidR="0074716B" w:rsidRDefault="0074716B" w:rsidP="00912683">
            <w:r>
              <w:t>All programs should build on-ramps from corrections to education. Prison and jail programs can</w:t>
            </w:r>
            <w:r w:rsidRPr="00CA56B0">
              <w:t xml:space="preserve"> build on-ramps with education institutions while students are still in custody, supporting students’ ability to continue their studies post-release. They can develop the vital college readiness skills </w:t>
            </w:r>
            <w:r>
              <w:t xml:space="preserve">and college awareness </w:t>
            </w:r>
            <w:r w:rsidRPr="00CA56B0">
              <w:t xml:space="preserve">that many incarcerated students lack. </w:t>
            </w:r>
            <w:r>
              <w:t>Programs for formerly incarcerated students in the community should coordinate with local agencies, such as probation or parole offices, to c</w:t>
            </w:r>
            <w:r w:rsidRPr="00993FEE">
              <w:t>ultivate awareness of college opportunities</w:t>
            </w:r>
            <w:r>
              <w:t xml:space="preserve"> among potential students and criminal justice stakeholders.</w:t>
            </w:r>
            <w:r w:rsidRPr="00993FEE">
              <w:t xml:space="preserve"> </w:t>
            </w:r>
          </w:p>
          <w:p w14:paraId="3EC04BEA" w14:textId="77777777" w:rsidR="00912683" w:rsidRDefault="00912683" w:rsidP="00912683"/>
          <w:p w14:paraId="6307FFD0" w14:textId="77777777" w:rsidR="0074716B" w:rsidRDefault="00D01100" w:rsidP="00912683">
            <w:r>
              <w:t>In addressing how they will build these on-ramps, a</w:t>
            </w:r>
            <w:r w:rsidR="0074716B">
              <w:t>pplicants are encouraged to</w:t>
            </w:r>
            <w:r>
              <w:t xml:space="preserve"> work with their local criminal justice partners and</w:t>
            </w:r>
            <w:r w:rsidR="0074716B">
              <w:t xml:space="preserve"> think creatively about criminal justice opportunities such as diversion or early release for education.</w:t>
            </w:r>
          </w:p>
          <w:p w14:paraId="6A3AD57D" w14:textId="77777777" w:rsidR="00912683" w:rsidRDefault="00912683" w:rsidP="00912683"/>
          <w:p w14:paraId="44EDAEFF" w14:textId="77777777" w:rsidR="0074716B" w:rsidRDefault="0074716B" w:rsidP="002A03B6">
            <w:pPr>
              <w:spacing w:after="120"/>
            </w:pPr>
          </w:p>
        </w:tc>
      </w:tr>
      <w:tr w:rsidR="0074716B" w14:paraId="1D828F88" w14:textId="77777777" w:rsidTr="00912683">
        <w:tc>
          <w:tcPr>
            <w:tcW w:w="5000" w:type="pct"/>
            <w:gridSpan w:val="2"/>
            <w:shd w:val="clear" w:color="auto" w:fill="808080" w:themeFill="background1" w:themeFillShade="80"/>
            <w:vAlign w:val="center"/>
          </w:tcPr>
          <w:p w14:paraId="79CF371F" w14:textId="77777777" w:rsidR="0074716B" w:rsidRPr="00A27331" w:rsidRDefault="0074716B" w:rsidP="00930078">
            <w:pPr>
              <w:jc w:val="center"/>
              <w:rPr>
                <w:b/>
                <w:color w:val="FFFFFF" w:themeColor="background1"/>
              </w:rPr>
            </w:pPr>
            <w:r w:rsidRPr="00A27331">
              <w:rPr>
                <w:rFonts w:ascii="Calibri" w:hAnsi="Calibri"/>
                <w:b/>
                <w:color w:val="FFFFFF" w:themeColor="background1"/>
              </w:rPr>
              <w:lastRenderedPageBreak/>
              <w:t>Capacity and Sustainability</w:t>
            </w:r>
          </w:p>
        </w:tc>
      </w:tr>
      <w:tr w:rsidR="0074716B" w14:paraId="015DADB1" w14:textId="77777777" w:rsidTr="00912683">
        <w:tc>
          <w:tcPr>
            <w:tcW w:w="1184" w:type="pct"/>
          </w:tcPr>
          <w:p w14:paraId="34C92435" w14:textId="77777777" w:rsidR="0074716B" w:rsidRPr="00A27331" w:rsidRDefault="0074716B" w:rsidP="007208DA">
            <w:pPr>
              <w:rPr>
                <w:rFonts w:ascii="Calibri" w:hAnsi="Calibri"/>
                <w:b/>
              </w:rPr>
            </w:pPr>
            <w:r w:rsidRPr="00A27331">
              <w:rPr>
                <w:rFonts w:ascii="Calibri" w:hAnsi="Calibri"/>
                <w:b/>
              </w:rPr>
              <w:t>Matching resources available from p</w:t>
            </w:r>
            <w:r>
              <w:rPr>
                <w:rFonts w:ascii="Calibri" w:hAnsi="Calibri"/>
                <w:b/>
              </w:rPr>
              <w:t>ublic</w:t>
            </w:r>
            <w:r w:rsidRPr="00A27331">
              <w:rPr>
                <w:rFonts w:ascii="Calibri" w:hAnsi="Calibri"/>
                <w:b/>
              </w:rPr>
              <w:t xml:space="preserve"> sources</w:t>
            </w:r>
          </w:p>
        </w:tc>
        <w:tc>
          <w:tcPr>
            <w:tcW w:w="3816" w:type="pct"/>
          </w:tcPr>
          <w:p w14:paraId="237EC9E4" w14:textId="77777777" w:rsidR="0074716B" w:rsidRDefault="0074716B" w:rsidP="00912683">
            <w:r w:rsidRPr="008D725D">
              <w:t>Greater consideration will be given to applicants who provide evidence of matching public resources</w:t>
            </w:r>
            <w:r>
              <w:t xml:space="preserve"> greater than 25% of the total budget</w:t>
            </w:r>
            <w:r w:rsidRPr="008D725D">
              <w:t xml:space="preserve">. </w:t>
            </w:r>
            <w:r>
              <w:t>Preference will be given to applicants who demonstrate that the percentage of their total budget coming from public match will increase over the three years. See the FAQs for further details on the resource match requirement.</w:t>
            </w:r>
          </w:p>
          <w:p w14:paraId="62375FA8" w14:textId="77777777" w:rsidR="0074716B" w:rsidRPr="005071BB" w:rsidRDefault="0074716B" w:rsidP="008D725D">
            <w:pPr>
              <w:rPr>
                <w:u w:val="single"/>
              </w:rPr>
            </w:pPr>
          </w:p>
        </w:tc>
      </w:tr>
      <w:tr w:rsidR="0074716B" w14:paraId="3001F161" w14:textId="77777777" w:rsidTr="00912683">
        <w:tc>
          <w:tcPr>
            <w:tcW w:w="1184" w:type="pct"/>
          </w:tcPr>
          <w:p w14:paraId="01DD03DF" w14:textId="77777777" w:rsidR="0074716B" w:rsidRPr="00A27331" w:rsidRDefault="0074716B" w:rsidP="007208DA">
            <w:pPr>
              <w:rPr>
                <w:rFonts w:ascii="Calibri" w:hAnsi="Calibri"/>
                <w:b/>
              </w:rPr>
            </w:pPr>
            <w:r>
              <w:rPr>
                <w:b/>
              </w:rPr>
              <w:t>Plan for</w:t>
            </w:r>
            <w:r w:rsidRPr="00A27331">
              <w:rPr>
                <w:b/>
              </w:rPr>
              <w:t xml:space="preserve"> long-term sustainability</w:t>
            </w:r>
            <w:r>
              <w:rPr>
                <w:b/>
              </w:rPr>
              <w:t xml:space="preserve"> and scalability</w:t>
            </w:r>
          </w:p>
        </w:tc>
        <w:tc>
          <w:tcPr>
            <w:tcW w:w="3816" w:type="pct"/>
          </w:tcPr>
          <w:p w14:paraId="125AC18F" w14:textId="77777777" w:rsidR="0074716B" w:rsidRDefault="0074716B" w:rsidP="00912683">
            <w:r>
              <w:t xml:space="preserve">Proposals should provide evidence of a plan for the long-term sustainability of the program. Sustainability may be fostered </w:t>
            </w:r>
            <w:r w:rsidRPr="002D69E9">
              <w:t xml:space="preserve">through </w:t>
            </w:r>
            <w:r>
              <w:t>diversifying f</w:t>
            </w:r>
            <w:r w:rsidRPr="002D69E9">
              <w:t>unding</w:t>
            </w:r>
            <w:r>
              <w:t xml:space="preserve"> streams</w:t>
            </w:r>
            <w:r w:rsidRPr="002D69E9">
              <w:t>,</w:t>
            </w:r>
            <w:r>
              <w:t xml:space="preserve"> designating authority to establish standards and monitor program q</w:t>
            </w:r>
            <w:r w:rsidRPr="002D69E9">
              <w:t>ual</w:t>
            </w:r>
            <w:r>
              <w:t>ity, and by seeking both c</w:t>
            </w:r>
            <w:r w:rsidRPr="002D69E9">
              <w:t>o</w:t>
            </w:r>
            <w:r>
              <w:t xml:space="preserve">llege and institutional support. Proposals should also address </w:t>
            </w:r>
            <w:r w:rsidR="00D01100">
              <w:t xml:space="preserve">how they might address longer-term </w:t>
            </w:r>
            <w:r>
              <w:t>scalability and/or replicability demonstrating how the size of the program could increase over time and/or serve as a model for other jurisdictions.</w:t>
            </w:r>
          </w:p>
          <w:p w14:paraId="16EA27B4" w14:textId="77777777" w:rsidR="00912683" w:rsidRPr="009860B0" w:rsidRDefault="00912683" w:rsidP="00616613">
            <w:pPr>
              <w:spacing w:after="120"/>
              <w:rPr>
                <w:bCs/>
              </w:rPr>
            </w:pPr>
          </w:p>
        </w:tc>
      </w:tr>
      <w:tr w:rsidR="0074716B" w14:paraId="717D4FA6" w14:textId="77777777" w:rsidTr="00912683">
        <w:tc>
          <w:tcPr>
            <w:tcW w:w="5000" w:type="pct"/>
            <w:gridSpan w:val="2"/>
            <w:shd w:val="clear" w:color="auto" w:fill="808080" w:themeFill="background1" w:themeFillShade="80"/>
            <w:vAlign w:val="center"/>
          </w:tcPr>
          <w:p w14:paraId="5595DE48" w14:textId="77777777" w:rsidR="0074716B" w:rsidRPr="00A27331" w:rsidRDefault="0074716B" w:rsidP="00152653">
            <w:pPr>
              <w:jc w:val="center"/>
              <w:rPr>
                <w:b/>
                <w:color w:val="FFFFFF" w:themeColor="background1"/>
                <w:u w:val="single"/>
              </w:rPr>
            </w:pPr>
            <w:r w:rsidRPr="00A27331">
              <w:rPr>
                <w:rFonts w:ascii="Calibri" w:hAnsi="Calibri"/>
                <w:b/>
                <w:color w:val="FFFFFF" w:themeColor="background1"/>
              </w:rPr>
              <w:t>Engagement in Initiative</w:t>
            </w:r>
          </w:p>
        </w:tc>
      </w:tr>
      <w:tr w:rsidR="0074716B" w14:paraId="0DDBDD37" w14:textId="77777777" w:rsidTr="00912683">
        <w:tc>
          <w:tcPr>
            <w:tcW w:w="1184" w:type="pct"/>
          </w:tcPr>
          <w:p w14:paraId="6F659394" w14:textId="77777777" w:rsidR="0074716B" w:rsidRPr="00A27331" w:rsidRDefault="0074716B" w:rsidP="00E23C82">
            <w:pPr>
              <w:rPr>
                <w:rFonts w:ascii="Calibri" w:hAnsi="Calibri"/>
                <w:b/>
              </w:rPr>
            </w:pPr>
            <w:r w:rsidRPr="00A27331">
              <w:rPr>
                <w:rFonts w:ascii="Calibri" w:hAnsi="Calibri"/>
                <w:b/>
              </w:rPr>
              <w:t>Commitment to participate in evaluation</w:t>
            </w:r>
          </w:p>
        </w:tc>
        <w:tc>
          <w:tcPr>
            <w:tcW w:w="3816" w:type="pct"/>
          </w:tcPr>
          <w:p w14:paraId="26DB93C5" w14:textId="77777777" w:rsidR="0074716B" w:rsidRDefault="0074716B" w:rsidP="00912683">
            <w:r>
              <w:t>Applicants must commit to participating in a program evaluation that will be conducted by The Opportunity Institute and the Vera Institute of Justice. Strong applicants will demonstrate their ability to collect relevant data (e.g., recidivism rates</w:t>
            </w:r>
            <w:r w:rsidR="00D01100">
              <w:t>,</w:t>
            </w:r>
            <w:r>
              <w:t xml:space="preserve"> and academic data including the number of students who earn</w:t>
            </w:r>
            <w:r w:rsidRPr="001D7096">
              <w:t xml:space="preserve"> credentials, </w:t>
            </w:r>
            <w:r>
              <w:t>enroll in and complete</w:t>
            </w:r>
            <w:r w:rsidRPr="001D7096">
              <w:t xml:space="preserve"> </w:t>
            </w:r>
            <w:r>
              <w:t>courses, receive</w:t>
            </w:r>
            <w:r w:rsidRPr="001D7096">
              <w:t xml:space="preserve"> academic counseling, </w:t>
            </w:r>
            <w:r>
              <w:t>and complete orientation</w:t>
            </w:r>
            <w:r w:rsidRPr="001D7096">
              <w:t>)</w:t>
            </w:r>
            <w:r>
              <w:t>. Grant recipients will be required to submit progress reports. The exact contours of the data to be collected will be negotiated with successful awardees.</w:t>
            </w:r>
          </w:p>
          <w:p w14:paraId="50C0C1E9" w14:textId="77777777" w:rsidR="0074716B" w:rsidRPr="00152653" w:rsidRDefault="0074716B" w:rsidP="00E84982">
            <w:pPr>
              <w:rPr>
                <w:u w:val="single"/>
              </w:rPr>
            </w:pPr>
            <w:r w:rsidRPr="00152653">
              <w:rPr>
                <w:u w:val="single"/>
              </w:rPr>
              <w:t xml:space="preserve"> </w:t>
            </w:r>
          </w:p>
        </w:tc>
      </w:tr>
      <w:tr w:rsidR="0074716B" w14:paraId="50D7A777" w14:textId="77777777" w:rsidTr="00912683">
        <w:tc>
          <w:tcPr>
            <w:tcW w:w="1184" w:type="pct"/>
          </w:tcPr>
          <w:p w14:paraId="46C24B17" w14:textId="77777777" w:rsidR="0074716B" w:rsidRPr="00A27331" w:rsidRDefault="0074716B" w:rsidP="00E23C82">
            <w:pPr>
              <w:rPr>
                <w:rFonts w:ascii="Calibri" w:hAnsi="Calibri"/>
                <w:b/>
              </w:rPr>
            </w:pPr>
            <w:r w:rsidRPr="00A27331">
              <w:rPr>
                <w:rFonts w:ascii="Calibri" w:hAnsi="Calibri"/>
                <w:b/>
              </w:rPr>
              <w:t>Commitment to participate in learning community with other grantees</w:t>
            </w:r>
          </w:p>
        </w:tc>
        <w:tc>
          <w:tcPr>
            <w:tcW w:w="3816" w:type="pct"/>
          </w:tcPr>
          <w:p w14:paraId="26C78F78" w14:textId="77777777" w:rsidR="0074716B" w:rsidRPr="002F074B" w:rsidRDefault="0074716B" w:rsidP="00912683">
            <w:r w:rsidRPr="002F074B">
              <w:t>All</w:t>
            </w:r>
            <w:r>
              <w:t xml:space="preserve"> partners must commit to participate in statewide Renewing Communities meetings with other grantees and to become members of a learning community to share expertise and experiences on the development of their programs, as well as to share resources, tools, and strategies. </w:t>
            </w:r>
          </w:p>
        </w:tc>
      </w:tr>
    </w:tbl>
    <w:p w14:paraId="7C4054E5" w14:textId="77777777" w:rsidR="0074716B" w:rsidRDefault="0074716B" w:rsidP="0074716B">
      <w:pPr>
        <w:rPr>
          <w:b/>
          <w:sz w:val="26"/>
          <w:szCs w:val="26"/>
        </w:rPr>
      </w:pPr>
    </w:p>
    <w:p w14:paraId="4B05DF22" w14:textId="77777777" w:rsidR="002363A8" w:rsidRDefault="0074716B">
      <w:pPr>
        <w:rPr>
          <w:rFonts w:asciiTheme="majorHAnsi" w:eastAsiaTheme="majorEastAsia" w:hAnsiTheme="majorHAnsi" w:cstheme="majorBidi"/>
          <w:b/>
          <w:bCs/>
          <w:color w:val="345A8A" w:themeColor="accent1" w:themeShade="B5"/>
          <w:sz w:val="32"/>
          <w:szCs w:val="32"/>
        </w:rPr>
      </w:pPr>
      <w:r>
        <w:br w:type="page"/>
      </w:r>
    </w:p>
    <w:p w14:paraId="3B144FD5" w14:textId="352AE7EE" w:rsidR="00B90ABF" w:rsidRPr="00912683" w:rsidRDefault="00EB7624" w:rsidP="00912683">
      <w:pPr>
        <w:pStyle w:val="Heading1"/>
      </w:pPr>
      <w:bookmarkStart w:id="5" w:name="_Toc434571638"/>
      <w:r>
        <w:lastRenderedPageBreak/>
        <w:t>IV</w:t>
      </w:r>
      <w:r w:rsidR="008D44A8" w:rsidRPr="008D44A8">
        <w:t xml:space="preserve">. </w:t>
      </w:r>
      <w:r w:rsidR="00EE7802">
        <w:t>Initiative</w:t>
      </w:r>
      <w:r w:rsidR="008D44A8" w:rsidRPr="008D44A8">
        <w:t xml:space="preserve"> </w:t>
      </w:r>
      <w:r w:rsidR="00EE7802">
        <w:t>Funding</w:t>
      </w:r>
      <w:bookmarkEnd w:id="5"/>
    </w:p>
    <w:p w14:paraId="154772D3" w14:textId="02194636" w:rsidR="000A0F9C" w:rsidRDefault="00062CD9" w:rsidP="00714089">
      <w:r>
        <w:rPr>
          <w:i/>
        </w:rPr>
        <w:t>Grant A</w:t>
      </w:r>
      <w:r w:rsidR="00714089" w:rsidRPr="00714089">
        <w:rPr>
          <w:i/>
        </w:rPr>
        <w:t>mount:</w:t>
      </w:r>
      <w:r w:rsidR="00714089">
        <w:t xml:space="preserve"> </w:t>
      </w:r>
      <w:r w:rsidR="008D44A8">
        <w:t xml:space="preserve">The total grant budget for this </w:t>
      </w:r>
      <w:r w:rsidR="00714089">
        <w:t>Req</w:t>
      </w:r>
      <w:r w:rsidR="008173F2">
        <w:t>uest for Proposals (RFP)</w:t>
      </w:r>
      <w:r w:rsidR="00A95367">
        <w:t xml:space="preserve"> during year one</w:t>
      </w:r>
      <w:r w:rsidR="008173F2">
        <w:t xml:space="preserve"> is </w:t>
      </w:r>
      <w:r w:rsidR="008173F2">
        <w:rPr>
          <w:rFonts w:eastAsia="Times New Roman" w:cs="Times New Roman"/>
        </w:rPr>
        <w:t>$1,</w:t>
      </w:r>
      <w:r w:rsidR="00D01100">
        <w:rPr>
          <w:rFonts w:eastAsia="Times New Roman" w:cs="Times New Roman"/>
        </w:rPr>
        <w:t>750,000</w:t>
      </w:r>
      <w:r w:rsidR="00616613">
        <w:rPr>
          <w:rFonts w:eastAsia="Times New Roman" w:cs="Times New Roman"/>
        </w:rPr>
        <w:t xml:space="preserve"> but additional funds may be confirmed by the application deadline</w:t>
      </w:r>
      <w:r w:rsidR="008D44A8">
        <w:t xml:space="preserve">. </w:t>
      </w:r>
      <w:r w:rsidR="00A95367">
        <w:t xml:space="preserve">More than $5 million will be available during the three years of the Initiative. </w:t>
      </w:r>
      <w:r w:rsidR="00D0661D">
        <w:t xml:space="preserve">Applications will be accepted </w:t>
      </w:r>
      <w:r w:rsidR="001370B8">
        <w:t xml:space="preserve">for prison-based, jail-based, and community-based programs for </w:t>
      </w:r>
      <w:r w:rsidR="00616613">
        <w:t xml:space="preserve">currently and formerly incarcerated </w:t>
      </w:r>
      <w:r w:rsidR="001370B8">
        <w:t xml:space="preserve">students. </w:t>
      </w:r>
      <w:r w:rsidR="00D0661D">
        <w:t>We anticipate</w:t>
      </w:r>
      <w:r w:rsidR="00B74551">
        <w:t xml:space="preserve"> funding at least </w:t>
      </w:r>
      <w:r w:rsidR="00424A4D">
        <w:t>six</w:t>
      </w:r>
      <w:r w:rsidR="00B74551">
        <w:t xml:space="preserve"> </w:t>
      </w:r>
      <w:r w:rsidR="00D01100">
        <w:t xml:space="preserve">to ten </w:t>
      </w:r>
      <w:r w:rsidR="00B74551">
        <w:t>sites and aim to fund proposals across the spectrum of prison-, jail-, and community- based programs</w:t>
      </w:r>
      <w:r w:rsidR="00D0661D">
        <w:t>.</w:t>
      </w:r>
      <w:r w:rsidR="0030477E">
        <w:t xml:space="preserve"> </w:t>
      </w:r>
      <w:r w:rsidR="0030477E" w:rsidRPr="0050022F">
        <w:t xml:space="preserve">The grant period will </w:t>
      </w:r>
      <w:r w:rsidR="00112FCF">
        <w:t>be one year</w:t>
      </w:r>
      <w:r w:rsidR="009E415E">
        <w:t>. Renewed</w:t>
      </w:r>
      <w:r w:rsidR="00A20B4C">
        <w:t xml:space="preserve"> contracts with equal or greater funding in years two and three are expected but not guaranteed.</w:t>
      </w:r>
    </w:p>
    <w:p w14:paraId="710CD753" w14:textId="77777777" w:rsidR="008D44A8" w:rsidRDefault="000A0F9C" w:rsidP="00714089">
      <w:r>
        <w:t xml:space="preserve">Funds are available to each applicant based on the application and proposed budget. The grant award size will vary </w:t>
      </w:r>
      <w:r w:rsidR="00EF1868">
        <w:t>as</w:t>
      </w:r>
      <w:r>
        <w:t xml:space="preserve"> projects may serve varying numbers of </w:t>
      </w:r>
      <w:r w:rsidR="009A3EA8">
        <w:t>students</w:t>
      </w:r>
      <w:r>
        <w:t xml:space="preserve"> and project models will differ. </w:t>
      </w:r>
      <w:r w:rsidR="00EF1868">
        <w:t xml:space="preserve">Applicants must submit a budget form and demonstrate the cost effectiveness of their budget proposal in the required budget narrative. </w:t>
      </w:r>
    </w:p>
    <w:p w14:paraId="14AD80B8" w14:textId="77777777" w:rsidR="00682E6D" w:rsidRDefault="000C2FB7" w:rsidP="005F0A86">
      <w:r>
        <w:rPr>
          <w:i/>
        </w:rPr>
        <w:t>Non-A</w:t>
      </w:r>
      <w:r w:rsidR="00583646" w:rsidRPr="00583646">
        <w:rPr>
          <w:i/>
        </w:rPr>
        <w:t>llowable Activities and Costs:</w:t>
      </w:r>
      <w:r w:rsidR="00583646">
        <w:t xml:space="preserve"> </w:t>
      </w:r>
      <w:r w:rsidR="00EF1111">
        <w:t xml:space="preserve">Proposed budgets for the use of grant funds will be reviewed as part of the application process. Items deemed non-allowable, excessive, or inappropriate will be removed and the budget adjusted accordingly. </w:t>
      </w:r>
      <w:r w:rsidR="00583646">
        <w:t>Budgets that include non-allowable, excessive, or inappropriate items will receive a lower score. Generally, all expenditures must c</w:t>
      </w:r>
      <w:r w:rsidR="00A41560">
        <w:t>ontribute to student success</w:t>
      </w:r>
      <w:r w:rsidR="00682E6D">
        <w:t>.</w:t>
      </w:r>
      <w:r w:rsidR="00891F70">
        <w:t xml:space="preserve"> See the FAQ</w:t>
      </w:r>
      <w:r w:rsidR="00BD2D48">
        <w:t>s</w:t>
      </w:r>
      <w:r w:rsidR="00891F70">
        <w:t xml:space="preserve"> for </w:t>
      </w:r>
      <w:r w:rsidR="000654DF">
        <w:t xml:space="preserve">additional </w:t>
      </w:r>
      <w:r w:rsidR="00891F70">
        <w:t>detail on non-allowable expenses.</w:t>
      </w:r>
    </w:p>
    <w:p w14:paraId="5F2FC62B" w14:textId="77777777" w:rsidR="00034F57" w:rsidRDefault="00034F57">
      <w:pPr>
        <w:rPr>
          <w:highlight w:val="yellow"/>
        </w:rPr>
      </w:pPr>
      <w:r>
        <w:rPr>
          <w:highlight w:val="yellow"/>
        </w:rPr>
        <w:br w:type="page"/>
      </w:r>
    </w:p>
    <w:p w14:paraId="0C62F97B" w14:textId="68A477F5" w:rsidR="00B90ABF" w:rsidRDefault="00EB7624" w:rsidP="008146E1">
      <w:pPr>
        <w:pStyle w:val="Heading1"/>
      </w:pPr>
      <w:bookmarkStart w:id="6" w:name="_Toc434571639"/>
      <w:r>
        <w:lastRenderedPageBreak/>
        <w:t>V</w:t>
      </w:r>
      <w:r w:rsidR="00034F57" w:rsidRPr="00034F57">
        <w:t xml:space="preserve">. </w:t>
      </w:r>
      <w:r w:rsidR="00EF238C">
        <w:t>Application</w:t>
      </w:r>
      <w:r w:rsidR="00034F57" w:rsidRPr="00034F57">
        <w:t xml:space="preserve"> Requirements</w:t>
      </w:r>
      <w:bookmarkEnd w:id="6"/>
    </w:p>
    <w:p w14:paraId="4C098ACC" w14:textId="77777777" w:rsidR="00034F57" w:rsidRDefault="00034F57" w:rsidP="00034F57">
      <w:r>
        <w:t>Proposals must include the following</w:t>
      </w:r>
      <w:r w:rsidR="00012201">
        <w:t xml:space="preserve"> components</w:t>
      </w:r>
      <w:r>
        <w:t>:</w:t>
      </w:r>
    </w:p>
    <w:p w14:paraId="251E86E8" w14:textId="77777777" w:rsidR="008A2ABB" w:rsidRPr="008A2ABB" w:rsidRDefault="00034F57" w:rsidP="00B90ABF">
      <w:pPr>
        <w:pStyle w:val="Heading2"/>
      </w:pPr>
      <w:bookmarkStart w:id="7" w:name="_Toc434571640"/>
      <w:r w:rsidRPr="008A2ABB">
        <w:t>Cover Page</w:t>
      </w:r>
      <w:bookmarkEnd w:id="7"/>
    </w:p>
    <w:p w14:paraId="1F2A411C" w14:textId="77777777" w:rsidR="008A2ABB" w:rsidRDefault="00435926" w:rsidP="008A2ABB">
      <w:pPr>
        <w:pStyle w:val="ListParagraph"/>
        <w:ind w:left="0"/>
        <w:contextualSpacing w:val="0"/>
      </w:pPr>
      <w:r>
        <w:t>Applicants must include a cover page including the point of contact, the project category,</w:t>
      </w:r>
      <w:r w:rsidR="00581E96">
        <w:t xml:space="preserve"> and</w:t>
      </w:r>
      <w:r>
        <w:t xml:space="preserve"> </w:t>
      </w:r>
      <w:r w:rsidR="00581E96">
        <w:t xml:space="preserve">a project </w:t>
      </w:r>
      <w:r>
        <w:t>abstract</w:t>
      </w:r>
      <w:r w:rsidR="00540BF2">
        <w:t xml:space="preserve"> of maximum 150 words</w:t>
      </w:r>
      <w:r>
        <w:t xml:space="preserve"> </w:t>
      </w:r>
      <w:r w:rsidR="008A2ABB">
        <w:t xml:space="preserve">(see </w:t>
      </w:r>
      <w:r w:rsidR="005C56CF">
        <w:t xml:space="preserve">Form A in the </w:t>
      </w:r>
      <w:r w:rsidR="008A2ABB">
        <w:t>Appendix)</w:t>
      </w:r>
      <w:r>
        <w:t>.</w:t>
      </w:r>
    </w:p>
    <w:p w14:paraId="331085F2" w14:textId="77777777" w:rsidR="00034F57" w:rsidRPr="00577BCD" w:rsidRDefault="00DE7D67" w:rsidP="00B90ABF">
      <w:pPr>
        <w:pStyle w:val="Heading2"/>
      </w:pPr>
      <w:bookmarkStart w:id="8" w:name="_Toc434571641"/>
      <w:r>
        <w:t>Proposal Narrative</w:t>
      </w:r>
      <w:bookmarkEnd w:id="8"/>
    </w:p>
    <w:p w14:paraId="1BEF664A" w14:textId="77777777" w:rsidR="00CB52B0" w:rsidRDefault="002F2AFF" w:rsidP="00862B28">
      <w:pPr>
        <w:spacing w:after="0"/>
      </w:pPr>
      <w:r>
        <w:t xml:space="preserve">The project proposal narrative </w:t>
      </w:r>
      <w:r w:rsidR="005028EB">
        <w:t>(</w:t>
      </w:r>
      <w:r w:rsidR="00540BF2">
        <w:t>not</w:t>
      </w:r>
      <w:r w:rsidR="005028EB">
        <w:t xml:space="preserve"> to</w:t>
      </w:r>
      <w:r w:rsidR="00540BF2">
        <w:t xml:space="preserve"> exceed 1</w:t>
      </w:r>
      <w:r w:rsidR="009A3EA8">
        <w:t xml:space="preserve">5 double-spaced </w:t>
      </w:r>
      <w:r w:rsidR="00540BF2">
        <w:t>pages</w:t>
      </w:r>
      <w:r w:rsidR="00A91E50">
        <w:t>,</w:t>
      </w:r>
      <w:r w:rsidR="009A3EA8">
        <w:t xml:space="preserve"> </w:t>
      </w:r>
      <w:r w:rsidR="00424A4D">
        <w:t>12 point font size)</w:t>
      </w:r>
      <w:r w:rsidR="005028EB" w:rsidRPr="005028EB">
        <w:t xml:space="preserve"> </w:t>
      </w:r>
      <w:r w:rsidR="005028EB">
        <w:t>should address the following elements:</w:t>
      </w:r>
    </w:p>
    <w:p w14:paraId="4A33E266" w14:textId="77777777" w:rsidR="001F633B" w:rsidRDefault="009E22A2" w:rsidP="00862B28">
      <w:pPr>
        <w:pStyle w:val="ListParagraph"/>
        <w:numPr>
          <w:ilvl w:val="1"/>
          <w:numId w:val="5"/>
        </w:numPr>
        <w:ind w:left="720"/>
      </w:pPr>
      <w:r w:rsidRPr="00A8225A">
        <w:rPr>
          <w:i/>
        </w:rPr>
        <w:t>Statement of Need</w:t>
      </w:r>
      <w:r w:rsidR="00A8225A" w:rsidRPr="00A8225A">
        <w:rPr>
          <w:i/>
        </w:rPr>
        <w:t>:</w:t>
      </w:r>
      <w:r w:rsidR="00A8225A">
        <w:t xml:space="preserve"> </w:t>
      </w:r>
      <w:r w:rsidR="0047752C">
        <w:t xml:space="preserve">How </w:t>
      </w:r>
      <w:r w:rsidR="00601723">
        <w:t xml:space="preserve">will this grant </w:t>
      </w:r>
      <w:r w:rsidR="0047752C">
        <w:t>benefit your community? In responding to this question, please address the size, demographics, and needs of the targeted student population (provide supporting data where available). What portion of the target population will the proposed program have the capacity to serve?</w:t>
      </w:r>
    </w:p>
    <w:p w14:paraId="438141C4" w14:textId="77777777" w:rsidR="000B0213" w:rsidRDefault="00616613" w:rsidP="00E96E4F">
      <w:pPr>
        <w:pStyle w:val="ListParagraph"/>
        <w:numPr>
          <w:ilvl w:val="1"/>
          <w:numId w:val="5"/>
        </w:numPr>
        <w:ind w:left="720"/>
      </w:pPr>
      <w:r>
        <w:rPr>
          <w:i/>
        </w:rPr>
        <w:t>Project Description</w:t>
      </w:r>
      <w:r w:rsidR="008C5C9B" w:rsidRPr="00515373">
        <w:rPr>
          <w:i/>
        </w:rPr>
        <w:t>:</w:t>
      </w:r>
      <w:r w:rsidR="001C0F55">
        <w:t xml:space="preserve"> </w:t>
      </w:r>
      <w:r>
        <w:t xml:space="preserve">State the proposed solution to address the </w:t>
      </w:r>
      <w:r w:rsidR="000B0213">
        <w:t>issue</w:t>
      </w:r>
      <w:r>
        <w:t xml:space="preserve"> described in the statement of need. </w:t>
      </w:r>
      <w:r w:rsidR="00E3613D">
        <w:t>Describe the</w:t>
      </w:r>
      <w:r w:rsidR="002F1764">
        <w:t xml:space="preserve"> planned program components</w:t>
      </w:r>
      <w:r w:rsidR="000B0213">
        <w:t xml:space="preserve">, including </w:t>
      </w:r>
      <w:r w:rsidR="009A3468">
        <w:t xml:space="preserve">academic and </w:t>
      </w:r>
      <w:r w:rsidR="000B0213">
        <w:t>support services, assessment, soft skills</w:t>
      </w:r>
      <w:r w:rsidR="0042471E">
        <w:t>,</w:t>
      </w:r>
      <w:r w:rsidR="000B0213">
        <w:t xml:space="preserve"> and the plan</w:t>
      </w:r>
      <w:r w:rsidR="003B07FD">
        <w:t>s</w:t>
      </w:r>
      <w:r w:rsidR="000B0213">
        <w:t xml:space="preserve"> for </w:t>
      </w:r>
      <w:r w:rsidR="009A3468">
        <w:t xml:space="preserve">serving </w:t>
      </w:r>
      <w:r w:rsidR="000B0213">
        <w:t>those with a need for college readiness</w:t>
      </w:r>
      <w:r w:rsidR="003B07FD">
        <w:t xml:space="preserve"> and addressing reentry needs</w:t>
      </w:r>
      <w:r w:rsidR="000B0213">
        <w:t xml:space="preserve">. </w:t>
      </w:r>
      <w:r w:rsidR="00891A35">
        <w:t>Indicate the number of students that will be served during the grant period</w:t>
      </w:r>
      <w:r w:rsidR="000B0213">
        <w:t xml:space="preserve"> and how that number will change over the three</w:t>
      </w:r>
      <w:r w:rsidR="00A95367">
        <w:t>-</w:t>
      </w:r>
      <w:r w:rsidR="000B0213">
        <w:t>year period</w:t>
      </w:r>
      <w:r w:rsidR="00891A35">
        <w:t xml:space="preserve">. </w:t>
      </w:r>
      <w:r w:rsidR="000B0213">
        <w:t xml:space="preserve">Address the course sequence for programs offered in prisons and jail. </w:t>
      </w:r>
      <w:r w:rsidR="003205C5">
        <w:t>California Community Colleges should describe how the program will work within the larger context of the district within which the college lies.</w:t>
      </w:r>
      <w:r w:rsidR="00876F06">
        <w:t xml:space="preserve"> If alternatives to incarceration are included in the program, address them here.</w:t>
      </w:r>
      <w:r w:rsidR="006E04E9">
        <w:t xml:space="preserve"> The project description should also identify the applicant’s primary objectives (ideally no more than five). These objectives should be listed in the project description with detail provided in the </w:t>
      </w:r>
      <w:proofErr w:type="spellStart"/>
      <w:r w:rsidR="006E04E9">
        <w:t>workplan</w:t>
      </w:r>
      <w:proofErr w:type="spellEnd"/>
      <w:r w:rsidR="006E04E9">
        <w:t xml:space="preserve"> and objectives form (Form C in the Appendix). </w:t>
      </w:r>
    </w:p>
    <w:p w14:paraId="50C4C675" w14:textId="77777777" w:rsidR="00E96E4F" w:rsidRDefault="000B0213" w:rsidP="00E96E4F">
      <w:pPr>
        <w:pStyle w:val="ListParagraph"/>
        <w:numPr>
          <w:ilvl w:val="1"/>
          <w:numId w:val="5"/>
        </w:numPr>
        <w:ind w:left="720"/>
      </w:pPr>
      <w:r>
        <w:rPr>
          <w:i/>
        </w:rPr>
        <w:t>Challenges and Strategies</w:t>
      </w:r>
      <w:r>
        <w:t xml:space="preserve">: Identify anticipated challenges </w:t>
      </w:r>
      <w:r w:rsidR="00A95367">
        <w:t>at the individual student participant level and the program level</w:t>
      </w:r>
      <w:r w:rsidR="0083619B">
        <w:t xml:space="preserve">, </w:t>
      </w:r>
      <w:r>
        <w:t>a</w:t>
      </w:r>
      <w:r w:rsidR="0083619B">
        <w:t>s well as</w:t>
      </w:r>
      <w:r>
        <w:t xml:space="preserve"> strategies to address them. Applicants are encouraged to review </w:t>
      </w:r>
      <w:r w:rsidRPr="00515373">
        <w:rPr>
          <w:i/>
        </w:rPr>
        <w:t>Degrees of Freedom</w:t>
      </w:r>
      <w:r>
        <w:t>, with particular attention to the challenges and strategies for success identified in the relevant section of Part III: Current Landscape. Campus</w:t>
      </w:r>
      <w:r w:rsidR="009A3EA8">
        <w:t>-</w:t>
      </w:r>
      <w:r>
        <w:t>based programs should address the challenge of oversubscribed courses and other challenges to degree attainment that are not unique to formerly incarcerated students</w:t>
      </w:r>
      <w:r w:rsidR="00271A02">
        <w:t xml:space="preserve"> but will affect them</w:t>
      </w:r>
      <w:r>
        <w:t xml:space="preserve">. </w:t>
      </w:r>
      <w:r w:rsidR="003205C5">
        <w:t xml:space="preserve">For California Community Colleges seeking to provide classes and credits outside the district boundaries, describe how the relationship with the host district will be managed and what the contours of the agreement between </w:t>
      </w:r>
      <w:r w:rsidR="00271A02">
        <w:t xml:space="preserve">the </w:t>
      </w:r>
      <w:r w:rsidR="003205C5">
        <w:t xml:space="preserve">districts will be. A letter from the host district, or an explanation of why such a letter is not needed, </w:t>
      </w:r>
      <w:r w:rsidR="00271A02">
        <w:t>is</w:t>
      </w:r>
      <w:r w:rsidR="003205C5">
        <w:t xml:space="preserve"> required. </w:t>
      </w:r>
    </w:p>
    <w:p w14:paraId="27FE5092" w14:textId="77777777" w:rsidR="00E96E4F" w:rsidRDefault="00616613" w:rsidP="00E96E4F">
      <w:pPr>
        <w:pStyle w:val="ListParagraph"/>
        <w:numPr>
          <w:ilvl w:val="1"/>
          <w:numId w:val="5"/>
        </w:numPr>
        <w:ind w:left="720"/>
      </w:pPr>
      <w:r>
        <w:rPr>
          <w:i/>
        </w:rPr>
        <w:t>Key Staff</w:t>
      </w:r>
      <w:r w:rsidR="00E96E4F" w:rsidRPr="00E96E4F">
        <w:rPr>
          <w:i/>
        </w:rPr>
        <w:t>:</w:t>
      </w:r>
      <w:r w:rsidR="00E96E4F">
        <w:t xml:space="preserve"> </w:t>
      </w:r>
      <w:r w:rsidR="00271A02">
        <w:t>Briefly</w:t>
      </w:r>
      <w:r w:rsidR="00E96E4F">
        <w:t xml:space="preserve"> describe your staffing plan, including the roles, responsibilities, and background of key personnel</w:t>
      </w:r>
      <w:r w:rsidR="007575F6">
        <w:t>. Address the issues set out in Section III above</w:t>
      </w:r>
      <w:r w:rsidR="00E96E4F">
        <w:t>. Include a short bio for each key staff member</w:t>
      </w:r>
      <w:r w:rsidR="009A3EA8">
        <w:t xml:space="preserve"> </w:t>
      </w:r>
      <w:r w:rsidR="00711269">
        <w:t>specifying</w:t>
      </w:r>
      <w:r w:rsidR="00E96E4F">
        <w:t xml:space="preserve"> </w:t>
      </w:r>
      <w:r w:rsidR="009A3EA8">
        <w:t>his/her</w:t>
      </w:r>
      <w:r w:rsidR="00E96E4F">
        <w:t xml:space="preserve"> qualifications to implement the proposed program.</w:t>
      </w:r>
      <w:r w:rsidR="006227C8">
        <w:t xml:space="preserve"> </w:t>
      </w:r>
      <w:r w:rsidR="003205C5">
        <w:t xml:space="preserve">Include a plan to respond to key staff turnover during the three-year term. </w:t>
      </w:r>
      <w:r w:rsidR="006227C8">
        <w:t xml:space="preserve">Describe plans for professional </w:t>
      </w:r>
      <w:r w:rsidR="006227C8">
        <w:lastRenderedPageBreak/>
        <w:t>development.</w:t>
      </w:r>
      <w:r w:rsidR="00BC4B1D">
        <w:t xml:space="preserve"> </w:t>
      </w:r>
      <w:r w:rsidR="003205C5">
        <w:t>(Professional development opportunities will be provided by The Opportunity Institute but applicants are encouraged to discuss other options and avenue</w:t>
      </w:r>
      <w:r w:rsidR="00271A02">
        <w:t>s</w:t>
      </w:r>
      <w:r w:rsidR="003205C5">
        <w:t xml:space="preserve"> for development and training</w:t>
      </w:r>
      <w:r w:rsidR="00271A02">
        <w:t>, particularly for staff new to working within correctional institutions</w:t>
      </w:r>
      <w:r w:rsidR="00711269">
        <w:t xml:space="preserve"> and with criminal justice-involved individuals</w:t>
      </w:r>
      <w:r w:rsidR="003205C5">
        <w:t>.</w:t>
      </w:r>
      <w:r w:rsidR="00271A02">
        <w:t>)</w:t>
      </w:r>
      <w:r w:rsidR="003205C5">
        <w:t xml:space="preserve"> </w:t>
      </w:r>
    </w:p>
    <w:p w14:paraId="6265B140" w14:textId="77777777" w:rsidR="00CB52B0" w:rsidRDefault="00CB52B0" w:rsidP="00862B28">
      <w:pPr>
        <w:pStyle w:val="ListParagraph"/>
        <w:numPr>
          <w:ilvl w:val="1"/>
          <w:numId w:val="5"/>
        </w:numPr>
        <w:ind w:left="720"/>
      </w:pPr>
      <w:r w:rsidRPr="00962D50">
        <w:rPr>
          <w:i/>
        </w:rPr>
        <w:t>Cross-</w:t>
      </w:r>
      <w:r w:rsidR="00271A02">
        <w:rPr>
          <w:i/>
        </w:rPr>
        <w:t>A</w:t>
      </w:r>
      <w:r w:rsidRPr="00962D50">
        <w:rPr>
          <w:i/>
        </w:rPr>
        <w:t>gency Partnerships</w:t>
      </w:r>
      <w:r w:rsidR="00813127" w:rsidRPr="00962D50">
        <w:rPr>
          <w:i/>
        </w:rPr>
        <w:t>:</w:t>
      </w:r>
      <w:r w:rsidR="00813127">
        <w:t xml:space="preserve"> </w:t>
      </w:r>
      <w:r w:rsidR="009A3EA8">
        <w:t>I</w:t>
      </w:r>
      <w:r w:rsidR="00813127">
        <w:t>dentify e</w:t>
      </w:r>
      <w:r w:rsidR="00821606">
        <w:t xml:space="preserve">xisting </w:t>
      </w:r>
      <w:r w:rsidR="00813127">
        <w:t>or</w:t>
      </w:r>
      <w:r w:rsidR="00821606">
        <w:t xml:space="preserve"> planned cross</w:t>
      </w:r>
      <w:r w:rsidR="00813127">
        <w:t>-</w:t>
      </w:r>
      <w:r w:rsidR="00821606">
        <w:t>agency partnerships</w:t>
      </w:r>
      <w:r w:rsidR="00813127">
        <w:t>.</w:t>
      </w:r>
      <w:r w:rsidR="00EA5376">
        <w:t xml:space="preserve"> Who are the key actors and agencies involved in these efforts?</w:t>
      </w:r>
      <w:r w:rsidR="00862B28">
        <w:t xml:space="preserve"> </w:t>
      </w:r>
      <w:r w:rsidR="009A3468">
        <w:t>L</w:t>
      </w:r>
      <w:r w:rsidR="00C64292">
        <w:t xml:space="preserve">ist </w:t>
      </w:r>
      <w:r w:rsidR="009A3468">
        <w:t xml:space="preserve">their </w:t>
      </w:r>
      <w:r w:rsidR="00C64292">
        <w:t>names</w:t>
      </w:r>
      <w:r w:rsidR="00616613">
        <w:t xml:space="preserve"> or job titles and</w:t>
      </w:r>
      <w:r w:rsidR="00C64292">
        <w:t xml:space="preserve"> institutional affiliations. </w:t>
      </w:r>
      <w:r w:rsidR="00485CFF">
        <w:t>Describe the</w:t>
      </w:r>
      <w:r w:rsidR="00C64292">
        <w:t xml:space="preserve"> roles and responsibilities</w:t>
      </w:r>
      <w:r w:rsidR="00485CFF">
        <w:t xml:space="preserve"> of each partner</w:t>
      </w:r>
      <w:r w:rsidR="00C64292">
        <w:t xml:space="preserve"> for the proposed program. Roles and responsibilities should be clearly defined in terms of specific tasks, services, and/or support they will provide.</w:t>
      </w:r>
      <w:r w:rsidR="00862B28">
        <w:t xml:space="preserve"> We strongly encourage participation across multiple agencies.</w:t>
      </w:r>
      <w:r w:rsidR="00BC4B1D">
        <w:t xml:space="preserve"> Refer to Section III above for description of required and recommended partners.</w:t>
      </w:r>
    </w:p>
    <w:p w14:paraId="724DD7A3" w14:textId="0F8600EB" w:rsidR="00BA5456" w:rsidRDefault="00BA5456" w:rsidP="00BA5456">
      <w:pPr>
        <w:pStyle w:val="ListParagraph"/>
        <w:numPr>
          <w:ilvl w:val="1"/>
          <w:numId w:val="5"/>
        </w:numPr>
        <w:ind w:left="720"/>
      </w:pPr>
      <w:r w:rsidRPr="00B4228F">
        <w:rPr>
          <w:i/>
        </w:rPr>
        <w:t xml:space="preserve">Experience with Criminal Justice-Involved Students: </w:t>
      </w:r>
      <w:r>
        <w:t xml:space="preserve">Describe </w:t>
      </w:r>
      <w:r w:rsidR="0050323D">
        <w:t>any prior</w:t>
      </w:r>
      <w:r>
        <w:t xml:space="preserve"> experience</w:t>
      </w:r>
      <w:r w:rsidR="00EE7802">
        <w:t xml:space="preserve"> of </w:t>
      </w:r>
      <w:r w:rsidR="006835F3">
        <w:t xml:space="preserve">the </w:t>
      </w:r>
      <w:r w:rsidR="00EE7802">
        <w:t>organization</w:t>
      </w:r>
      <w:r w:rsidR="00616613">
        <w:t xml:space="preserve">, </w:t>
      </w:r>
      <w:r w:rsidR="00EE7802">
        <w:t>staff</w:t>
      </w:r>
      <w:r w:rsidR="00616613">
        <w:t>, or partners</w:t>
      </w:r>
      <w:r>
        <w:t xml:space="preserve"> working with criminal justice-involved students. Identify the services provided</w:t>
      </w:r>
      <w:r w:rsidR="00012201">
        <w:t xml:space="preserve"> and</w:t>
      </w:r>
      <w:r>
        <w:t xml:space="preserve"> roles</w:t>
      </w:r>
      <w:r w:rsidR="00E96E4F">
        <w:t xml:space="preserve"> of partners</w:t>
      </w:r>
      <w:r w:rsidR="00012201">
        <w:t>.</w:t>
      </w:r>
    </w:p>
    <w:p w14:paraId="2F567DEE" w14:textId="77777777" w:rsidR="00616613" w:rsidRDefault="00962D50" w:rsidP="00B71A34">
      <w:pPr>
        <w:pStyle w:val="ListParagraph"/>
        <w:numPr>
          <w:ilvl w:val="1"/>
          <w:numId w:val="5"/>
        </w:numPr>
        <w:spacing w:after="0"/>
        <w:ind w:left="720"/>
        <w:contextualSpacing w:val="0"/>
      </w:pPr>
      <w:r w:rsidRPr="00616613">
        <w:rPr>
          <w:i/>
        </w:rPr>
        <w:t xml:space="preserve">Capacity to Participate in </w:t>
      </w:r>
      <w:r w:rsidR="00CB52B0" w:rsidRPr="00616613">
        <w:rPr>
          <w:i/>
        </w:rPr>
        <w:t>Evaluation</w:t>
      </w:r>
      <w:r w:rsidRPr="00616613">
        <w:rPr>
          <w:i/>
        </w:rPr>
        <w:t>:</w:t>
      </w:r>
      <w:r>
        <w:t xml:space="preserve"> </w:t>
      </w:r>
      <w:r w:rsidR="00021CAC">
        <w:t xml:space="preserve">Describe the </w:t>
      </w:r>
      <w:r w:rsidR="0026374E">
        <w:t xml:space="preserve">capacity to collect </w:t>
      </w:r>
      <w:r w:rsidR="00585FFC">
        <w:t xml:space="preserve">relevant </w:t>
      </w:r>
      <w:r>
        <w:t xml:space="preserve">data </w:t>
      </w:r>
      <w:r w:rsidR="00585FFC">
        <w:t>(e.g., recidivism rates; academic data including the number of students who earn</w:t>
      </w:r>
      <w:r w:rsidR="00585FFC" w:rsidRPr="001D7096">
        <w:t xml:space="preserve"> credentials, </w:t>
      </w:r>
      <w:r w:rsidR="00585FFC">
        <w:t>enroll in and complete</w:t>
      </w:r>
      <w:r w:rsidR="00585FFC" w:rsidRPr="001D7096">
        <w:t xml:space="preserve"> </w:t>
      </w:r>
      <w:r w:rsidR="00585FFC">
        <w:t>courses, receive</w:t>
      </w:r>
      <w:r w:rsidR="00585FFC" w:rsidRPr="001D7096">
        <w:t xml:space="preserve"> academic counseling, </w:t>
      </w:r>
      <w:r w:rsidR="00585FFC">
        <w:t>and complete orientation</w:t>
      </w:r>
      <w:r w:rsidR="009A3468">
        <w:t>; and other pertinent data to this initiative</w:t>
      </w:r>
      <w:r w:rsidR="00585FFC" w:rsidRPr="001D7096">
        <w:t>)</w:t>
      </w:r>
      <w:r w:rsidR="00F608CA">
        <w:t>, including any existing data tracking systems</w:t>
      </w:r>
      <w:r w:rsidR="00616613">
        <w:t xml:space="preserve"> for both partners and applicant</w:t>
      </w:r>
      <w:r w:rsidR="005D3372">
        <w:t xml:space="preserve"> if relevant</w:t>
      </w:r>
      <w:r w:rsidR="00F608CA">
        <w:t>.</w:t>
      </w:r>
    </w:p>
    <w:p w14:paraId="73D29F0F" w14:textId="39A7C420" w:rsidR="00616613" w:rsidRDefault="00616613" w:rsidP="008146E1">
      <w:pPr>
        <w:pStyle w:val="ListParagraph"/>
        <w:numPr>
          <w:ilvl w:val="1"/>
          <w:numId w:val="5"/>
        </w:numPr>
        <w:ind w:left="720"/>
        <w:contextualSpacing w:val="0"/>
      </w:pPr>
      <w:r w:rsidRPr="00616613">
        <w:rPr>
          <w:i/>
        </w:rPr>
        <w:t xml:space="preserve">Sustainability: </w:t>
      </w:r>
      <w:r>
        <w:t>Address the long-term challenges the program</w:t>
      </w:r>
      <w:r w:rsidR="00271A02">
        <w:t xml:space="preserve"> will face</w:t>
      </w:r>
      <w:r>
        <w:t>, as well as a plan for sustainability</w:t>
      </w:r>
      <w:r w:rsidR="00A95367">
        <w:t xml:space="preserve">, including </w:t>
      </w:r>
      <w:r w:rsidR="0034453C">
        <w:t>scalability</w:t>
      </w:r>
      <w:r w:rsidR="00A95367">
        <w:t xml:space="preserve">, </w:t>
      </w:r>
      <w:r>
        <w:t>after the end of the three-year period.</w:t>
      </w:r>
    </w:p>
    <w:p w14:paraId="722D0B31" w14:textId="77777777" w:rsidR="008D44A8" w:rsidRPr="000F27EC" w:rsidRDefault="6EF823B3" w:rsidP="00B90ABF">
      <w:pPr>
        <w:pStyle w:val="Heading2"/>
      </w:pPr>
      <w:bookmarkStart w:id="9" w:name="_Toc434571642"/>
      <w:r w:rsidRPr="6EF823B3">
        <w:t xml:space="preserve">Budget </w:t>
      </w:r>
      <w:r w:rsidR="00012201">
        <w:t xml:space="preserve">and Budget </w:t>
      </w:r>
      <w:r w:rsidRPr="6EF823B3">
        <w:t>Narrative</w:t>
      </w:r>
      <w:bookmarkEnd w:id="9"/>
    </w:p>
    <w:p w14:paraId="451343AC" w14:textId="77777777" w:rsidR="00867248" w:rsidRPr="002F3F19" w:rsidRDefault="00876F06" w:rsidP="000F27EC">
      <w:pPr>
        <w:rPr>
          <w:spacing w:val="-2"/>
        </w:rPr>
      </w:pPr>
      <w:r w:rsidRPr="002F3F19">
        <w:rPr>
          <w:spacing w:val="-2"/>
        </w:rPr>
        <w:t xml:space="preserve">Applicants must </w:t>
      </w:r>
      <w:r w:rsidR="006E04E9" w:rsidRPr="002F3F19">
        <w:rPr>
          <w:spacing w:val="-2"/>
        </w:rPr>
        <w:t>submit a budget (Form B in the A</w:t>
      </w:r>
      <w:r w:rsidRPr="002F3F19">
        <w:rPr>
          <w:spacing w:val="-2"/>
        </w:rPr>
        <w:t xml:space="preserve">ppendix) and a budget narrative. The narrative should describe the </w:t>
      </w:r>
      <w:r w:rsidR="00B5271E" w:rsidRPr="002F3F19">
        <w:rPr>
          <w:spacing w:val="-2"/>
        </w:rPr>
        <w:t>major expenditures</w:t>
      </w:r>
      <w:r w:rsidR="00EA7196" w:rsidRPr="002F3F19">
        <w:rPr>
          <w:spacing w:val="-2"/>
        </w:rPr>
        <w:t xml:space="preserve"> under each category within the budget</w:t>
      </w:r>
      <w:r w:rsidRPr="002F3F19">
        <w:rPr>
          <w:spacing w:val="-2"/>
        </w:rPr>
        <w:t xml:space="preserve">, including all </w:t>
      </w:r>
      <w:r w:rsidR="00E4636D" w:rsidRPr="002F3F19">
        <w:rPr>
          <w:spacing w:val="-2"/>
        </w:rPr>
        <w:t>expenses categorized as “other” on the budget worksheet</w:t>
      </w:r>
      <w:r w:rsidR="00742BAC" w:rsidRPr="002F3F19">
        <w:rPr>
          <w:spacing w:val="-2"/>
        </w:rPr>
        <w:t xml:space="preserve">, </w:t>
      </w:r>
      <w:r w:rsidRPr="002F3F19">
        <w:rPr>
          <w:spacing w:val="-2"/>
        </w:rPr>
        <w:t xml:space="preserve">and should </w:t>
      </w:r>
      <w:r w:rsidR="00183DA9" w:rsidRPr="002F3F19">
        <w:rPr>
          <w:spacing w:val="-2"/>
        </w:rPr>
        <w:t>identify</w:t>
      </w:r>
      <w:r w:rsidR="00742BAC" w:rsidRPr="002F3F19">
        <w:rPr>
          <w:spacing w:val="-2"/>
        </w:rPr>
        <w:t xml:space="preserve"> the job titles or individuals who will be funded along with their expected percent effort</w:t>
      </w:r>
      <w:r w:rsidRPr="002F3F19">
        <w:rPr>
          <w:spacing w:val="-2"/>
        </w:rPr>
        <w:t xml:space="preserve">. The narrative must also </w:t>
      </w:r>
      <w:r w:rsidR="00183DA9" w:rsidRPr="002F3F19">
        <w:rPr>
          <w:spacing w:val="-2"/>
        </w:rPr>
        <w:t>describe</w:t>
      </w:r>
      <w:r w:rsidR="00E4636D" w:rsidRPr="002F3F19">
        <w:rPr>
          <w:spacing w:val="-2"/>
        </w:rPr>
        <w:t xml:space="preserve"> the matching resources. </w:t>
      </w:r>
    </w:p>
    <w:p w14:paraId="0F17F47B" w14:textId="77777777" w:rsidR="00183DA9" w:rsidRDefault="00867248" w:rsidP="000F27EC">
      <w:r>
        <w:t>A</w:t>
      </w:r>
      <w:r w:rsidR="006B4C88">
        <w:t>pplicants are encouraged</w:t>
      </w:r>
      <w:r>
        <w:t xml:space="preserve"> to plan</w:t>
      </w:r>
      <w:r w:rsidR="00C814F8">
        <w:t xml:space="preserve"> and budget</w:t>
      </w:r>
      <w:r>
        <w:t xml:space="preserve"> for travel expenses associated with professional development that will be provided by The Opportunity Institute and others. </w:t>
      </w:r>
      <w:r w:rsidR="00C814F8">
        <w:t>Awardees</w:t>
      </w:r>
      <w:r>
        <w:t xml:space="preserve"> will be requested to send at least one key staff member to at least two</w:t>
      </w:r>
      <w:r w:rsidR="00235459">
        <w:t xml:space="preserve"> </w:t>
      </w:r>
      <w:r w:rsidR="009A3468">
        <w:t xml:space="preserve">full-day </w:t>
      </w:r>
      <w:r>
        <w:t xml:space="preserve">trainings </w:t>
      </w:r>
      <w:r w:rsidR="009A3468">
        <w:t>each</w:t>
      </w:r>
      <w:r>
        <w:t xml:space="preserve"> year in </w:t>
      </w:r>
      <w:r w:rsidR="0034453C">
        <w:t>Sacramento</w:t>
      </w:r>
      <w:r>
        <w:t>, the Bay Area, or Los Angeles. Additional trainings are likely and it may be helpful for additional staff members to attend</w:t>
      </w:r>
      <w:r w:rsidR="00876F06">
        <w:t>; budgets should reflect these expenses</w:t>
      </w:r>
      <w:r>
        <w:t xml:space="preserve">. </w:t>
      </w:r>
    </w:p>
    <w:p w14:paraId="250AC1BE" w14:textId="77777777" w:rsidR="00183DA9" w:rsidRDefault="00183DA9" w:rsidP="000F27EC">
      <w:r>
        <w:t xml:space="preserve">If the funds would be awarded to another entity (for example, if the applicant </w:t>
      </w:r>
      <w:r w:rsidR="00867248">
        <w:t xml:space="preserve">is </w:t>
      </w:r>
      <w:r>
        <w:t xml:space="preserve">a California Community College and the funds </w:t>
      </w:r>
      <w:r w:rsidR="00867248">
        <w:t>will</w:t>
      </w:r>
      <w:r>
        <w:t xml:space="preserve"> be awarded to the district, not to the college directly), describe the plan for transferring the funds from the receiving entity to the applicant, and clarify whether and to wh</w:t>
      </w:r>
      <w:r w:rsidR="00867248">
        <w:t>at degree the receiving entity w</w:t>
      </w:r>
      <w:r>
        <w:t>ill apply overhead or take a percentage</w:t>
      </w:r>
      <w:r w:rsidR="009A3468">
        <w:t xml:space="preserve"> of the award</w:t>
      </w:r>
      <w:r>
        <w:t>, if any.</w:t>
      </w:r>
    </w:p>
    <w:p w14:paraId="28B74C33" w14:textId="77777777" w:rsidR="00183DA9" w:rsidRDefault="00183DA9" w:rsidP="000F27EC">
      <w:r>
        <w:t xml:space="preserve">For prison- and jail-based programs, the budget narrative should address whether the applicant or the higher education partner intends to collect apportionment for instructional salaries or to otherwise utilize apportionment (to the extent relevant to the applicant and to the proposal). </w:t>
      </w:r>
    </w:p>
    <w:p w14:paraId="1AF30085" w14:textId="77777777" w:rsidR="00FD100F" w:rsidRDefault="00183DA9" w:rsidP="002F3F19">
      <w:pPr>
        <w:spacing w:after="120"/>
      </w:pPr>
      <w:r>
        <w:lastRenderedPageBreak/>
        <w:t>If other sources of funding are expected, identify the other sources and their amounts, and describe how the Renewing Communities funds will be used in relation</w:t>
      </w:r>
      <w:r w:rsidR="006F743B">
        <w:t xml:space="preserve"> </w:t>
      </w:r>
      <w:r>
        <w:t xml:space="preserve">to the other funds. </w:t>
      </w:r>
    </w:p>
    <w:p w14:paraId="7767A66F" w14:textId="77777777" w:rsidR="00FD100F" w:rsidRDefault="00183DA9" w:rsidP="002F3F19">
      <w:pPr>
        <w:spacing w:after="120"/>
      </w:pPr>
      <w:r>
        <w:t xml:space="preserve">The budget narrative must include a </w:t>
      </w:r>
      <w:r w:rsidR="00E4636D">
        <w:t xml:space="preserve">description of costs that </w:t>
      </w:r>
      <w:r>
        <w:t>student participants will be</w:t>
      </w:r>
      <w:r w:rsidR="00867248">
        <w:t xml:space="preserve"> expected to carry, including the cost of tuition, fees, and books, if applicable.</w:t>
      </w:r>
    </w:p>
    <w:p w14:paraId="4C666923" w14:textId="54E7DF2B" w:rsidR="00E4636D" w:rsidRPr="002F3F19" w:rsidRDefault="00FD100F" w:rsidP="002F3F19">
      <w:pPr>
        <w:spacing w:after="120"/>
        <w:rPr>
          <w:spacing w:val="-2"/>
        </w:rPr>
      </w:pPr>
      <w:r w:rsidRPr="002F3F19">
        <w:rPr>
          <w:spacing w:val="-2"/>
        </w:rPr>
        <w:t>T</w:t>
      </w:r>
      <w:r w:rsidR="00E4636D" w:rsidRPr="002F3F19">
        <w:rPr>
          <w:spacing w:val="-2"/>
        </w:rPr>
        <w:t>he budget narrative must include a section documenting how the budget is expected to</w:t>
      </w:r>
      <w:r w:rsidR="00183DA9" w:rsidRPr="002F3F19">
        <w:rPr>
          <w:spacing w:val="-2"/>
        </w:rPr>
        <w:t xml:space="preserve"> change in years two and three</w:t>
      </w:r>
      <w:r w:rsidR="006F00EB" w:rsidRPr="002F3F19">
        <w:rPr>
          <w:spacing w:val="-2"/>
        </w:rPr>
        <w:t>, including whether the percentage of matching public resources will increase beyond 25%</w:t>
      </w:r>
      <w:r w:rsidR="00867248" w:rsidRPr="002F3F19">
        <w:rPr>
          <w:spacing w:val="-2"/>
        </w:rPr>
        <w:t xml:space="preserve">. </w:t>
      </w:r>
    </w:p>
    <w:p w14:paraId="0FDC3B76" w14:textId="77777777" w:rsidR="00E4636D" w:rsidRPr="007F735C" w:rsidRDefault="00183DA9" w:rsidP="00B90ABF">
      <w:pPr>
        <w:pStyle w:val="Heading2"/>
      </w:pPr>
      <w:bookmarkStart w:id="10" w:name="_Toc434571643"/>
      <w:r>
        <w:t xml:space="preserve">Proposal </w:t>
      </w:r>
      <w:r w:rsidR="00E4636D" w:rsidRPr="007F735C">
        <w:t>Attachments</w:t>
      </w:r>
      <w:bookmarkEnd w:id="10"/>
    </w:p>
    <w:p w14:paraId="0EE1C5E2" w14:textId="77777777" w:rsidR="00E4636D" w:rsidRPr="00B90ABF" w:rsidRDefault="00E4636D" w:rsidP="00B90ABF">
      <w:pPr>
        <w:pStyle w:val="Heading3"/>
      </w:pPr>
      <w:bookmarkStart w:id="11" w:name="_Toc434571644"/>
      <w:r w:rsidRPr="00B90ABF">
        <w:t>Statements from Partners</w:t>
      </w:r>
      <w:bookmarkEnd w:id="11"/>
    </w:p>
    <w:p w14:paraId="3D4299B2" w14:textId="5E696516" w:rsidR="00E4636D" w:rsidRDefault="00E4636D" w:rsidP="002F3F19">
      <w:pPr>
        <w:spacing w:after="120"/>
      </w:pPr>
      <w:r>
        <w:t>A</w:t>
      </w:r>
      <w:r w:rsidRPr="00F940FC">
        <w:t>pplication</w:t>
      </w:r>
      <w:r>
        <w:t xml:space="preserve">s must include signed statements from all partners indicating their commitment to the proposed program and confirming their anticipated roles and responsibilities. If a portion of the match comes from a partner, the statement must confirm the partner’s commitment to contribute the matching resources. </w:t>
      </w:r>
      <w:r w:rsidR="00183DA9">
        <w:t xml:space="preserve">If the applicant is a California Community College proposing a program in </w:t>
      </w:r>
      <w:r w:rsidR="0034453C">
        <w:t>an</w:t>
      </w:r>
      <w:r w:rsidR="00183DA9">
        <w:t>other district, a letter from the host district must be submitted along with a plan to obtain an MOU.</w:t>
      </w:r>
    </w:p>
    <w:p w14:paraId="3F0F234C" w14:textId="77777777" w:rsidR="00E4636D" w:rsidRDefault="00E4636D" w:rsidP="00B90ABF">
      <w:pPr>
        <w:pStyle w:val="Heading3"/>
      </w:pPr>
      <w:bookmarkStart w:id="12" w:name="_Toc434571645"/>
      <w:r w:rsidRPr="00B71A34">
        <w:t>Budget Form</w:t>
      </w:r>
      <w:bookmarkEnd w:id="12"/>
    </w:p>
    <w:p w14:paraId="56D966C9" w14:textId="0C57EF7C" w:rsidR="00B21B02" w:rsidRDefault="00E4636D" w:rsidP="002F3F19">
      <w:pPr>
        <w:spacing w:after="120"/>
      </w:pPr>
      <w:r>
        <w:t>The budget template (Form B</w:t>
      </w:r>
      <w:r w:rsidR="005D3372">
        <w:t xml:space="preserve"> in the Appendix</w:t>
      </w:r>
      <w:r>
        <w:t xml:space="preserve">) must be completed </w:t>
      </w:r>
      <w:r w:rsidR="006F00EB">
        <w:t>and signed by the individual within the applicant’s organization with responsibility for financial reporting</w:t>
      </w:r>
      <w:r>
        <w:t xml:space="preserve">. Applicants </w:t>
      </w:r>
      <w:r w:rsidR="006F00EB">
        <w:t xml:space="preserve">do not </w:t>
      </w:r>
      <w:r>
        <w:t>need to fill in the blanks on this form; a replica can be created in excel or word. Budgets must be submitted for partners if the applicant plans to transfer or sub-contract RFP funds to the partner</w:t>
      </w:r>
      <w:r w:rsidR="006F00EB">
        <w:t xml:space="preserve"> agency</w:t>
      </w:r>
      <w:r>
        <w:t>.</w:t>
      </w:r>
      <w:r w:rsidR="00183DA9">
        <w:t xml:space="preserve"> The matching funds section should be filled out by the applicant entity only.</w:t>
      </w:r>
    </w:p>
    <w:p w14:paraId="6D492234" w14:textId="77777777" w:rsidR="00B21B02" w:rsidRDefault="00B21B02" w:rsidP="00B21B02">
      <w:pPr>
        <w:pStyle w:val="Heading3"/>
      </w:pPr>
      <w:bookmarkStart w:id="13" w:name="_Toc434571646"/>
      <w:proofErr w:type="spellStart"/>
      <w:r>
        <w:t>Workplan</w:t>
      </w:r>
      <w:proofErr w:type="spellEnd"/>
      <w:r>
        <w:t xml:space="preserve"> and Objectives</w:t>
      </w:r>
      <w:bookmarkEnd w:id="13"/>
    </w:p>
    <w:p w14:paraId="29B22864" w14:textId="77777777" w:rsidR="00906EC6" w:rsidRDefault="00905280" w:rsidP="002F3F19">
      <w:pPr>
        <w:spacing w:after="120"/>
      </w:pPr>
      <w:r w:rsidRPr="00D126B4">
        <w:t xml:space="preserve">Please </w:t>
      </w:r>
      <w:r w:rsidR="00C05D97" w:rsidRPr="00D126B4">
        <w:t>include a</w:t>
      </w:r>
      <w:r w:rsidRPr="00D126B4">
        <w:t xml:space="preserve"> completed</w:t>
      </w:r>
      <w:r w:rsidR="00C05D97" w:rsidRPr="00D126B4">
        <w:t xml:space="preserve"> </w:t>
      </w:r>
      <w:proofErr w:type="spellStart"/>
      <w:r w:rsidR="00B33376" w:rsidRPr="00D126B4">
        <w:t>workplan</w:t>
      </w:r>
      <w:proofErr w:type="spellEnd"/>
      <w:r w:rsidR="00B33376" w:rsidRPr="00D126B4">
        <w:t xml:space="preserve"> for </w:t>
      </w:r>
      <w:r w:rsidR="00C05D97" w:rsidRPr="00D126B4">
        <w:t>the proposed project</w:t>
      </w:r>
      <w:r w:rsidR="00B33376" w:rsidRPr="00D126B4">
        <w:t xml:space="preserve"> (see Form C in the Appendix). This </w:t>
      </w:r>
      <w:proofErr w:type="spellStart"/>
      <w:r w:rsidR="00B33376" w:rsidRPr="00D126B4">
        <w:t>workplan</w:t>
      </w:r>
      <w:proofErr w:type="spellEnd"/>
      <w:r w:rsidR="00B33376" w:rsidRPr="00D126B4">
        <w:t xml:space="preserve"> requires </w:t>
      </w:r>
      <w:r w:rsidR="000D50B5">
        <w:t>i</w:t>
      </w:r>
      <w:r w:rsidR="00B33376" w:rsidRPr="00D126B4">
        <w:t>dentif</w:t>
      </w:r>
      <w:r w:rsidR="000D50B5">
        <w:t>ication of</w:t>
      </w:r>
      <w:r w:rsidR="00B33376" w:rsidRPr="00D126B4">
        <w:t xml:space="preserve"> the program’s objectives, </w:t>
      </w:r>
      <w:r w:rsidR="000D50B5">
        <w:t xml:space="preserve">specific grant </w:t>
      </w:r>
      <w:r w:rsidR="00B33376" w:rsidRPr="00D126B4">
        <w:t>activities, outcomes, timelines, and responsible individual</w:t>
      </w:r>
      <w:r w:rsidR="006B4C88">
        <w:t xml:space="preserve">s over the </w:t>
      </w:r>
      <w:r w:rsidR="0013784B" w:rsidRPr="0013784B">
        <w:t>three years</w:t>
      </w:r>
      <w:r w:rsidR="006B4C88">
        <w:t xml:space="preserve"> of the initiative</w:t>
      </w:r>
      <w:r w:rsidR="00B33376" w:rsidRPr="00D126B4">
        <w:t xml:space="preserve">. </w:t>
      </w:r>
      <w:r w:rsidR="006E04E9">
        <w:t xml:space="preserve">Applicants need not fill in the blanks on this exact form; a replica can be created in excel or word.  </w:t>
      </w:r>
    </w:p>
    <w:p w14:paraId="32C455C7" w14:textId="77777777" w:rsidR="00906EC6" w:rsidRDefault="0053698F" w:rsidP="002F3F19">
      <w:pPr>
        <w:spacing w:after="120"/>
      </w:pPr>
      <w:r w:rsidRPr="00D126B4">
        <w:t>Objectives should identify the goals</w:t>
      </w:r>
      <w:r w:rsidR="000D50B5">
        <w:t xml:space="preserve"> the </w:t>
      </w:r>
      <w:r w:rsidRPr="00D126B4">
        <w:t>program seeks to achieve</w:t>
      </w:r>
      <w:r w:rsidR="006E04E9">
        <w:t>, as listed in the project description</w:t>
      </w:r>
      <w:r w:rsidR="000D50B5">
        <w:t xml:space="preserve">. </w:t>
      </w:r>
      <w:r w:rsidR="006E04E9">
        <w:t xml:space="preserve">Applicants should list </w:t>
      </w:r>
      <w:r w:rsidR="00906EC6">
        <w:t>one objective per sheet</w:t>
      </w:r>
      <w:r w:rsidR="006E04E9">
        <w:t xml:space="preserve"> and use only one page for each objective. </w:t>
      </w:r>
      <w:r w:rsidR="00906EC6">
        <w:t xml:space="preserve">Objectives must be itemized and </w:t>
      </w:r>
      <w:r w:rsidR="006B4C88">
        <w:t>should be linked to measurable outcomes.</w:t>
      </w:r>
    </w:p>
    <w:p w14:paraId="311B77C7" w14:textId="77777777" w:rsidR="006B4C88" w:rsidRDefault="000D50B5" w:rsidP="002F3F19">
      <w:pPr>
        <w:spacing w:after="120"/>
      </w:pPr>
      <w:r>
        <w:t>Grant a</w:t>
      </w:r>
      <w:r w:rsidR="0053698F" w:rsidRPr="00D126B4">
        <w:t xml:space="preserve">ctivities </w:t>
      </w:r>
      <w:r w:rsidR="006B4C88">
        <w:t>are the tasks and basic steps that need to be completed in order to achieve the particular objective. Outline each major grant activity or task necessary for the objective.</w:t>
      </w:r>
    </w:p>
    <w:p w14:paraId="05CEE7E3" w14:textId="77777777" w:rsidR="006B4C88" w:rsidRDefault="006B4C88" w:rsidP="002F3F19">
      <w:pPr>
        <w:spacing w:after="120"/>
      </w:pPr>
      <w:r>
        <w:t xml:space="preserve">Measurable outcomes should link to the objectives and grant activities. Outcomes can be qualitative, quantitative, or both. </w:t>
      </w:r>
    </w:p>
    <w:p w14:paraId="6DA293BA" w14:textId="77777777" w:rsidR="006B4C88" w:rsidRDefault="006B4C88" w:rsidP="002F3F19">
      <w:pPr>
        <w:spacing w:after="120"/>
      </w:pPr>
      <w:r>
        <w:t xml:space="preserve">Timelines should refer to completion dates for the grant activities of the project. </w:t>
      </w:r>
      <w:r w:rsidRPr="00D126B4">
        <w:t>The timeline can include a planning period of a maximum of three months if necessary.</w:t>
      </w:r>
      <w:r>
        <w:t xml:space="preserve"> </w:t>
      </w:r>
      <w:r w:rsidRPr="00D126B4">
        <w:t>Instruction and support services should begin no later than Fall 2016.</w:t>
      </w:r>
    </w:p>
    <w:p w14:paraId="110A437B" w14:textId="77777777" w:rsidR="00906EC6" w:rsidRDefault="000D50B5" w:rsidP="002F3F19">
      <w:pPr>
        <w:spacing w:after="120"/>
        <w:rPr>
          <w:rFonts w:ascii="Arial" w:hAnsi="Arial" w:cs="Arial"/>
          <w:sz w:val="23"/>
        </w:rPr>
      </w:pPr>
      <w:r>
        <w:t>I</w:t>
      </w:r>
      <w:r w:rsidR="0053698F" w:rsidRPr="00D126B4">
        <w:t>dentify the individuals</w:t>
      </w:r>
      <w:r w:rsidR="00D126B4" w:rsidRPr="00D126B4">
        <w:t xml:space="preserve"> and agencies</w:t>
      </w:r>
      <w:r w:rsidR="0053698F" w:rsidRPr="00D126B4">
        <w:t xml:space="preserve"> responsible for completing these activities</w:t>
      </w:r>
      <w:r w:rsidR="00183DA9">
        <w:t xml:space="preserve">, either </w:t>
      </w:r>
      <w:r>
        <w:t>by name or by job title</w:t>
      </w:r>
      <w:r w:rsidR="0053698F" w:rsidRPr="00D126B4">
        <w:t xml:space="preserve">. </w:t>
      </w:r>
      <w:r w:rsidR="006B4C88">
        <w:t xml:space="preserve">Partners from other entities should be included if relevant. </w:t>
      </w:r>
    </w:p>
    <w:p w14:paraId="51CB715E" w14:textId="74FF57E5" w:rsidR="00B30A7E" w:rsidRPr="00DE779E" w:rsidRDefault="00DE779E" w:rsidP="00B30A7E">
      <w:pPr>
        <w:rPr>
          <w:b/>
          <w:sz w:val="26"/>
          <w:szCs w:val="26"/>
        </w:rPr>
      </w:pPr>
      <w:r>
        <w:rPr>
          <w:i/>
        </w:rPr>
        <w:br w:type="page"/>
      </w:r>
      <w:bookmarkStart w:id="14" w:name="_Toc434571647"/>
      <w:r w:rsidR="00374F7E">
        <w:rPr>
          <w:rStyle w:val="Heading1Char"/>
        </w:rPr>
        <w:lastRenderedPageBreak/>
        <w:t>VI.</w:t>
      </w:r>
      <w:r w:rsidR="00C0179B">
        <w:rPr>
          <w:rStyle w:val="Heading1Char"/>
        </w:rPr>
        <w:t xml:space="preserve"> S</w:t>
      </w:r>
      <w:r w:rsidR="00B30A7E" w:rsidRPr="00B90ABF">
        <w:rPr>
          <w:rStyle w:val="Heading1Char"/>
        </w:rPr>
        <w:t>election</w:t>
      </w:r>
      <w:r w:rsidRPr="00B90ABF">
        <w:rPr>
          <w:rStyle w:val="Heading1Char"/>
        </w:rPr>
        <w:t xml:space="preserve"> Criteria</w:t>
      </w:r>
      <w:bookmarkEnd w:id="14"/>
    </w:p>
    <w:p w14:paraId="04C8F905" w14:textId="77777777" w:rsidR="006B4860" w:rsidRDefault="00C24251" w:rsidP="00595B9F">
      <w:pPr>
        <w:spacing w:after="0"/>
      </w:pPr>
      <w:r>
        <w:t>P</w:t>
      </w:r>
      <w:r w:rsidRPr="00C24251">
        <w:t>roposals will be carefully reviewed and evaluated by a selection committee that includes</w:t>
      </w:r>
      <w:r w:rsidR="00AF157E">
        <w:t xml:space="preserve"> </w:t>
      </w:r>
      <w:r w:rsidR="005512F9">
        <w:t>practitioners and policymakers with expertise in higher education and criminal justice</w:t>
      </w:r>
      <w:r w:rsidR="00CA5450">
        <w:t xml:space="preserve">. </w:t>
      </w:r>
      <w:r w:rsidR="00AF157E">
        <w:t xml:space="preserve">Proposals will be scored on the following </w:t>
      </w:r>
      <w:r w:rsidR="006F00EB">
        <w:t>five</w:t>
      </w:r>
      <w:r w:rsidR="00AF157E">
        <w:t xml:space="preserve"> components with the weight indicated below assigned to each respective component:</w:t>
      </w:r>
    </w:p>
    <w:p w14:paraId="2D05EE70" w14:textId="77777777" w:rsidR="006F743B" w:rsidRPr="00C24251" w:rsidRDefault="006F743B" w:rsidP="00595B9F">
      <w:pPr>
        <w:spacing w:after="0"/>
      </w:pPr>
    </w:p>
    <w:p w14:paraId="57990C50" w14:textId="77777777" w:rsidR="00DE7D67" w:rsidRPr="00B90ABF" w:rsidRDefault="00A95367" w:rsidP="006B4860">
      <w:pPr>
        <w:spacing w:after="0"/>
        <w:rPr>
          <w:b/>
        </w:rPr>
      </w:pPr>
      <w:r>
        <w:rPr>
          <w:b/>
        </w:rPr>
        <w:t xml:space="preserve">1. </w:t>
      </w:r>
      <w:r w:rsidR="00DE7D67" w:rsidRPr="00B90ABF">
        <w:rPr>
          <w:b/>
        </w:rPr>
        <w:t>Proposal Narrative (</w:t>
      </w:r>
      <w:r w:rsidR="006E04E9" w:rsidRPr="00012201">
        <w:rPr>
          <w:b/>
        </w:rPr>
        <w:t>45</w:t>
      </w:r>
      <w:r w:rsidR="00DE7D67" w:rsidRPr="00012201">
        <w:rPr>
          <w:b/>
        </w:rPr>
        <w:t>%</w:t>
      </w:r>
      <w:r w:rsidR="00DE7D67" w:rsidRPr="00B90ABF">
        <w:rPr>
          <w:b/>
        </w:rPr>
        <w:t>)</w:t>
      </w:r>
    </w:p>
    <w:p w14:paraId="257A39CC" w14:textId="42D5FEEA" w:rsidR="00DE7D67" w:rsidRDefault="00DE7D67" w:rsidP="00E20B00">
      <w:pPr>
        <w:pStyle w:val="ListParagraph"/>
        <w:numPr>
          <w:ilvl w:val="0"/>
          <w:numId w:val="30"/>
        </w:numPr>
      </w:pPr>
      <w:r>
        <w:t>Statement of Need (5%)</w:t>
      </w:r>
    </w:p>
    <w:p w14:paraId="5D080DB1" w14:textId="26A120D0" w:rsidR="006B4860" w:rsidRDefault="006B4860" w:rsidP="00E20B00">
      <w:pPr>
        <w:pStyle w:val="ListParagraph"/>
        <w:numPr>
          <w:ilvl w:val="0"/>
          <w:numId w:val="30"/>
        </w:numPr>
      </w:pPr>
      <w:r>
        <w:t>Project Description (</w:t>
      </w:r>
      <w:r w:rsidRPr="00012201">
        <w:t>2</w:t>
      </w:r>
      <w:r w:rsidR="006E04E9" w:rsidRPr="00012201">
        <w:t>0</w:t>
      </w:r>
      <w:r w:rsidR="00DE7D67">
        <w:t>%)</w:t>
      </w:r>
    </w:p>
    <w:p w14:paraId="19021D30" w14:textId="0E74A22F" w:rsidR="00DE7D67" w:rsidRDefault="006B4860" w:rsidP="00E20B00">
      <w:pPr>
        <w:pStyle w:val="ListParagraph"/>
        <w:numPr>
          <w:ilvl w:val="0"/>
          <w:numId w:val="30"/>
        </w:numPr>
      </w:pPr>
      <w:r>
        <w:t>Challenges and Strategies (1</w:t>
      </w:r>
      <w:r w:rsidR="006F743B">
        <w:t>0</w:t>
      </w:r>
      <w:r>
        <w:t>%)</w:t>
      </w:r>
    </w:p>
    <w:p w14:paraId="012684C5" w14:textId="2B7E97A7" w:rsidR="00DE7D67" w:rsidRDefault="00DE7D67" w:rsidP="00E20B00">
      <w:pPr>
        <w:pStyle w:val="ListParagraph"/>
        <w:numPr>
          <w:ilvl w:val="0"/>
          <w:numId w:val="30"/>
        </w:numPr>
      </w:pPr>
      <w:r>
        <w:t xml:space="preserve">Experience with </w:t>
      </w:r>
      <w:r w:rsidR="00235459">
        <w:t>C</w:t>
      </w:r>
      <w:r>
        <w:t>riminal-</w:t>
      </w:r>
      <w:r w:rsidR="00235459">
        <w:t>J</w:t>
      </w:r>
      <w:r>
        <w:t xml:space="preserve">ustice </w:t>
      </w:r>
      <w:r w:rsidR="00235459">
        <w:t>I</w:t>
      </w:r>
      <w:r>
        <w:t xml:space="preserve">nvolved </w:t>
      </w:r>
      <w:r w:rsidR="00235459">
        <w:t>S</w:t>
      </w:r>
      <w:r>
        <w:t>tudents (5%)</w:t>
      </w:r>
    </w:p>
    <w:p w14:paraId="3DC0343C" w14:textId="328CAC73" w:rsidR="00DE7D67" w:rsidRDefault="00DE7D67" w:rsidP="00E20B00">
      <w:pPr>
        <w:pStyle w:val="ListParagraph"/>
        <w:numPr>
          <w:ilvl w:val="0"/>
          <w:numId w:val="30"/>
        </w:numPr>
      </w:pPr>
      <w:r>
        <w:t xml:space="preserve">Capacity to </w:t>
      </w:r>
      <w:r w:rsidR="00235459">
        <w:t>P</w:t>
      </w:r>
      <w:r>
        <w:t xml:space="preserve">articipate in </w:t>
      </w:r>
      <w:r w:rsidR="00235459">
        <w:t>E</w:t>
      </w:r>
      <w:r>
        <w:t>valuation</w:t>
      </w:r>
      <w:r w:rsidR="006B4860">
        <w:t xml:space="preserve"> and </w:t>
      </w:r>
      <w:r w:rsidR="00235459">
        <w:t>P</w:t>
      </w:r>
      <w:r w:rsidR="006B4860">
        <w:t xml:space="preserve">lan for </w:t>
      </w:r>
      <w:r w:rsidR="00235459">
        <w:t>S</w:t>
      </w:r>
      <w:r w:rsidR="006B4860">
        <w:t>ustainability</w:t>
      </w:r>
      <w:r>
        <w:t xml:space="preserve"> (</w:t>
      </w:r>
      <w:r w:rsidR="006F743B">
        <w:t>5</w:t>
      </w:r>
      <w:r>
        <w:t>%)</w:t>
      </w:r>
    </w:p>
    <w:p w14:paraId="11A0C442" w14:textId="77777777" w:rsidR="00DE7D67" w:rsidRDefault="00A95367" w:rsidP="00B90ABF">
      <w:pPr>
        <w:rPr>
          <w:b/>
        </w:rPr>
      </w:pPr>
      <w:r>
        <w:rPr>
          <w:b/>
        </w:rPr>
        <w:t xml:space="preserve">2. </w:t>
      </w:r>
      <w:r w:rsidR="006B4860">
        <w:rPr>
          <w:b/>
        </w:rPr>
        <w:t>Staffing and Partnerships (10</w:t>
      </w:r>
      <w:r w:rsidR="00DE7D67">
        <w:rPr>
          <w:b/>
        </w:rPr>
        <w:t>%)</w:t>
      </w:r>
    </w:p>
    <w:p w14:paraId="5F95CA7A" w14:textId="77777777" w:rsidR="00DE7D67" w:rsidRDefault="00A95367" w:rsidP="00B90ABF">
      <w:pPr>
        <w:rPr>
          <w:b/>
        </w:rPr>
      </w:pPr>
      <w:r>
        <w:rPr>
          <w:b/>
        </w:rPr>
        <w:t xml:space="preserve">3. </w:t>
      </w:r>
      <w:r w:rsidR="006B4860">
        <w:rPr>
          <w:b/>
        </w:rPr>
        <w:t>Budget and Budget Narrative (20</w:t>
      </w:r>
      <w:r w:rsidR="00DE7D67">
        <w:rPr>
          <w:b/>
        </w:rPr>
        <w:t>%)</w:t>
      </w:r>
    </w:p>
    <w:p w14:paraId="1085947F" w14:textId="77777777" w:rsidR="006B4860" w:rsidRDefault="00A95367" w:rsidP="00B90ABF">
      <w:pPr>
        <w:rPr>
          <w:b/>
        </w:rPr>
      </w:pPr>
      <w:r>
        <w:rPr>
          <w:b/>
        </w:rPr>
        <w:t xml:space="preserve">4. </w:t>
      </w:r>
      <w:proofErr w:type="spellStart"/>
      <w:r w:rsidR="00DE7D67">
        <w:rPr>
          <w:b/>
        </w:rPr>
        <w:t>Workplan</w:t>
      </w:r>
      <w:proofErr w:type="spellEnd"/>
      <w:r w:rsidR="00DE7D67">
        <w:rPr>
          <w:b/>
        </w:rPr>
        <w:t xml:space="preserve"> and Objective</w:t>
      </w:r>
      <w:r w:rsidR="007F735C">
        <w:rPr>
          <w:b/>
        </w:rPr>
        <w:t>s</w:t>
      </w:r>
      <w:r w:rsidR="00DE7D67">
        <w:rPr>
          <w:b/>
        </w:rPr>
        <w:t xml:space="preserve"> (</w:t>
      </w:r>
      <w:r w:rsidR="00DE7D67" w:rsidRPr="00012201">
        <w:rPr>
          <w:b/>
        </w:rPr>
        <w:t>1</w:t>
      </w:r>
      <w:r w:rsidR="006E04E9" w:rsidRPr="00012201">
        <w:rPr>
          <w:b/>
        </w:rPr>
        <w:t>5</w:t>
      </w:r>
      <w:r w:rsidR="00DE7D67">
        <w:rPr>
          <w:b/>
        </w:rPr>
        <w:t>%)</w:t>
      </w:r>
    </w:p>
    <w:p w14:paraId="6F9E8E5F" w14:textId="77777777" w:rsidR="006F743B" w:rsidRDefault="00A95367" w:rsidP="00B90ABF">
      <w:pPr>
        <w:rPr>
          <w:b/>
        </w:rPr>
      </w:pPr>
      <w:r>
        <w:rPr>
          <w:b/>
        </w:rPr>
        <w:t xml:space="preserve">5. </w:t>
      </w:r>
      <w:r w:rsidR="006F743B">
        <w:rPr>
          <w:b/>
        </w:rPr>
        <w:t>Overall Approach and Feasibility (10%)</w:t>
      </w:r>
    </w:p>
    <w:p w14:paraId="30C8C23B" w14:textId="77777777" w:rsidR="006F743B" w:rsidRDefault="006F743B" w:rsidP="006B4860">
      <w:pPr>
        <w:spacing w:after="0"/>
      </w:pPr>
    </w:p>
    <w:p w14:paraId="20D024AE" w14:textId="77777777" w:rsidR="006B4860" w:rsidRDefault="006B4860" w:rsidP="006B4860">
      <w:pPr>
        <w:spacing w:after="0"/>
      </w:pPr>
      <w:r>
        <w:t>Other criteria that may be considered in the selection process include:</w:t>
      </w:r>
    </w:p>
    <w:p w14:paraId="6C1BF97B" w14:textId="77777777" w:rsidR="006B4860" w:rsidRDefault="006B4860" w:rsidP="006B4860">
      <w:pPr>
        <w:pStyle w:val="ListParagraph"/>
        <w:numPr>
          <w:ilvl w:val="0"/>
          <w:numId w:val="16"/>
        </w:numPr>
      </w:pPr>
      <w:r>
        <w:t xml:space="preserve">Diversity in </w:t>
      </w:r>
      <w:r w:rsidR="00C23A0E">
        <w:t>p</w:t>
      </w:r>
      <w:r>
        <w:t xml:space="preserve">rogram </w:t>
      </w:r>
      <w:r w:rsidR="00C23A0E">
        <w:t>m</w:t>
      </w:r>
      <w:r>
        <w:t xml:space="preserve">odels &amp; </w:t>
      </w:r>
      <w:r w:rsidR="00C23A0E">
        <w:t>t</w:t>
      </w:r>
      <w:r>
        <w:t xml:space="preserve">argeted </w:t>
      </w:r>
      <w:r w:rsidR="00C23A0E">
        <w:t>s</w:t>
      </w:r>
      <w:r>
        <w:t>tudents</w:t>
      </w:r>
    </w:p>
    <w:p w14:paraId="083ECE76" w14:textId="77777777" w:rsidR="006B4860" w:rsidRDefault="006B4860" w:rsidP="006B4860">
      <w:pPr>
        <w:pStyle w:val="ListParagraph"/>
        <w:numPr>
          <w:ilvl w:val="0"/>
          <w:numId w:val="16"/>
        </w:numPr>
      </w:pPr>
      <w:r>
        <w:t xml:space="preserve">Geographic </w:t>
      </w:r>
      <w:r w:rsidR="00A95367">
        <w:t>d</w:t>
      </w:r>
      <w:r>
        <w:t>istribution</w:t>
      </w:r>
    </w:p>
    <w:p w14:paraId="6C833232" w14:textId="77777777" w:rsidR="006B4860" w:rsidRDefault="006B4860" w:rsidP="006B4860">
      <w:pPr>
        <w:pStyle w:val="ListParagraph"/>
        <w:numPr>
          <w:ilvl w:val="0"/>
          <w:numId w:val="16"/>
        </w:numPr>
      </w:pPr>
      <w:r>
        <w:t xml:space="preserve">Urban, </w:t>
      </w:r>
      <w:r w:rsidR="00C23A0E">
        <w:t>s</w:t>
      </w:r>
      <w:r>
        <w:t xml:space="preserve">uburban, and/or </w:t>
      </w:r>
      <w:r w:rsidR="00C23A0E">
        <w:t>r</w:t>
      </w:r>
      <w:r>
        <w:t xml:space="preserve">ural </w:t>
      </w:r>
      <w:r w:rsidR="00C23A0E">
        <w:t>d</w:t>
      </w:r>
      <w:r>
        <w:t>istribution</w:t>
      </w:r>
    </w:p>
    <w:p w14:paraId="0029A440" w14:textId="77777777" w:rsidR="006B4860" w:rsidRDefault="006B4860" w:rsidP="006B4860">
      <w:pPr>
        <w:pStyle w:val="ListParagraph"/>
        <w:numPr>
          <w:ilvl w:val="0"/>
          <w:numId w:val="16"/>
        </w:numPr>
      </w:pPr>
      <w:r>
        <w:t xml:space="preserve">Program </w:t>
      </w:r>
      <w:r w:rsidR="00C23A0E">
        <w:t>s</w:t>
      </w:r>
      <w:r>
        <w:t>ize</w:t>
      </w:r>
    </w:p>
    <w:p w14:paraId="588ED6EF" w14:textId="77777777" w:rsidR="006B4860" w:rsidRDefault="006B4860" w:rsidP="006B4860">
      <w:pPr>
        <w:pStyle w:val="ListParagraph"/>
        <w:numPr>
          <w:ilvl w:val="0"/>
          <w:numId w:val="16"/>
        </w:numPr>
      </w:pPr>
      <w:r>
        <w:t>Incorporation of alternatives to incarceration</w:t>
      </w:r>
      <w:r w:rsidR="00A95367">
        <w:t xml:space="preserve"> </w:t>
      </w:r>
    </w:p>
    <w:p w14:paraId="7AD864B1" w14:textId="77777777" w:rsidR="006B4860" w:rsidRDefault="006B4860" w:rsidP="006B4860">
      <w:pPr>
        <w:pStyle w:val="ListParagraph"/>
        <w:numPr>
          <w:ilvl w:val="0"/>
          <w:numId w:val="16"/>
        </w:numPr>
      </w:pPr>
      <w:r>
        <w:t>Mixture of expanded existing programs and new programs</w:t>
      </w:r>
    </w:p>
    <w:p w14:paraId="5A9BC8AB" w14:textId="77777777" w:rsidR="00DE7D67" w:rsidRPr="00B90ABF" w:rsidRDefault="00DE7D67" w:rsidP="00B90ABF">
      <w:pPr>
        <w:rPr>
          <w:b/>
        </w:rPr>
      </w:pPr>
    </w:p>
    <w:p w14:paraId="256E3764" w14:textId="77777777" w:rsidR="002C4EDE" w:rsidRDefault="002C4EDE">
      <w:pPr>
        <w:rPr>
          <w:b/>
          <w:sz w:val="26"/>
          <w:szCs w:val="26"/>
        </w:rPr>
      </w:pPr>
      <w:r>
        <w:rPr>
          <w:b/>
          <w:sz w:val="26"/>
          <w:szCs w:val="26"/>
        </w:rPr>
        <w:br w:type="page"/>
      </w:r>
    </w:p>
    <w:p w14:paraId="5F9421C0" w14:textId="57EC8484" w:rsidR="00FA1AE2" w:rsidRPr="00B77821" w:rsidRDefault="00451B54" w:rsidP="00B77821">
      <w:pPr>
        <w:pStyle w:val="Heading1"/>
      </w:pPr>
      <w:bookmarkStart w:id="15" w:name="_Toc434571648"/>
      <w:r>
        <w:lastRenderedPageBreak/>
        <w:t>VII</w:t>
      </w:r>
      <w:r w:rsidR="008C7BEE" w:rsidRPr="008C7BEE">
        <w:t xml:space="preserve">. </w:t>
      </w:r>
      <w:r w:rsidR="00015933">
        <w:t>Application Instructions</w:t>
      </w:r>
      <w:bookmarkEnd w:id="15"/>
      <w:r w:rsidR="00015933">
        <w:t xml:space="preserve"> </w:t>
      </w:r>
    </w:p>
    <w:p w14:paraId="50DFAF65" w14:textId="77777777" w:rsidR="009D40FB" w:rsidRDefault="009D40FB" w:rsidP="003A6A05">
      <w:r>
        <w:rPr>
          <w:i/>
        </w:rPr>
        <w:t xml:space="preserve">RFP Issue Date: </w:t>
      </w:r>
      <w:r w:rsidR="00912269" w:rsidRPr="009C4CD9">
        <w:t xml:space="preserve">November </w:t>
      </w:r>
      <w:r w:rsidR="00125225" w:rsidRPr="004F0DAF">
        <w:t>9</w:t>
      </w:r>
      <w:r w:rsidR="00912269">
        <w:t>, 2015</w:t>
      </w:r>
    </w:p>
    <w:p w14:paraId="6AF1C4E1" w14:textId="581AE02D" w:rsidR="009A77DD" w:rsidRDefault="009A77DD" w:rsidP="003A6A05">
      <w:r w:rsidRPr="009A77DD">
        <w:rPr>
          <w:i/>
        </w:rPr>
        <w:t>Notice of Intent to Apply Deadline:</w:t>
      </w:r>
      <w:r>
        <w:t xml:space="preserve"> January 11, 2016 at 5:00 pm</w:t>
      </w:r>
    </w:p>
    <w:p w14:paraId="54DDEF79" w14:textId="2443C984" w:rsidR="00167FC7" w:rsidRDefault="00167FC7" w:rsidP="00167FC7">
      <w:pPr>
        <w:ind w:left="720"/>
        <w:rPr>
          <w:i/>
        </w:rPr>
      </w:pPr>
      <w:r>
        <w:t xml:space="preserve">A Notice of Intent to Apply should be submitted by email to </w:t>
      </w:r>
      <w:hyperlink r:id="rId9" w:history="1">
        <w:r w:rsidRPr="00E96F23">
          <w:rPr>
            <w:rStyle w:val="Hyperlink"/>
          </w:rPr>
          <w:t>laura@theopportunityinstitute.org</w:t>
        </w:r>
      </w:hyperlink>
      <w:r>
        <w:t>. The Notice should specify (1) the name of the applicant and the applicant’s higher education partner(s) if the applicant is not a higher education institution, (2) the county, and (3) whether the proposal will be primarily prison-based, jail-based, or community/campus-based.</w:t>
      </w:r>
    </w:p>
    <w:p w14:paraId="30589E11" w14:textId="77777777" w:rsidR="003A6A05" w:rsidRDefault="008C7BEE" w:rsidP="003A6A05">
      <w:r w:rsidRPr="008C7BEE">
        <w:rPr>
          <w:i/>
        </w:rPr>
        <w:t>Application Deadline</w:t>
      </w:r>
      <w:r>
        <w:rPr>
          <w:i/>
        </w:rPr>
        <w:t xml:space="preserve">: </w:t>
      </w:r>
      <w:r w:rsidR="005512F9">
        <w:t>February 1, 2016 at 5:00 pm</w:t>
      </w:r>
      <w:r w:rsidR="0037265F">
        <w:t xml:space="preserve"> </w:t>
      </w:r>
    </w:p>
    <w:p w14:paraId="59F38138" w14:textId="77777777" w:rsidR="00186F94" w:rsidRDefault="00186F94" w:rsidP="003A6A05">
      <w:pPr>
        <w:rPr>
          <w:i/>
        </w:rPr>
      </w:pPr>
    </w:p>
    <w:p w14:paraId="52B4CCFD" w14:textId="77777777" w:rsidR="0019317D" w:rsidRDefault="0019317D" w:rsidP="003A6A05">
      <w:pPr>
        <w:rPr>
          <w:i/>
        </w:rPr>
      </w:pPr>
      <w:r w:rsidRPr="0019317D">
        <w:rPr>
          <w:i/>
        </w:rPr>
        <w:t>Submission Instructions</w:t>
      </w:r>
      <w:r w:rsidR="009579DF">
        <w:rPr>
          <w:i/>
        </w:rPr>
        <w:t>:</w:t>
      </w:r>
    </w:p>
    <w:p w14:paraId="7D28E571" w14:textId="77777777" w:rsidR="0037265F" w:rsidRDefault="0037265F" w:rsidP="003A6A05">
      <w:r>
        <w:t>Ap</w:t>
      </w:r>
      <w:r w:rsidR="00912269">
        <w:t>plications should be submitted in PDF format by email to</w:t>
      </w:r>
      <w:r w:rsidR="005D3372">
        <w:t xml:space="preserve"> </w:t>
      </w:r>
      <w:hyperlink r:id="rId10" w:history="1">
        <w:r w:rsidR="005D3372" w:rsidRPr="007C5006">
          <w:rPr>
            <w:rStyle w:val="Hyperlink"/>
          </w:rPr>
          <w:t>laura@theopportunityinstitute.org</w:t>
        </w:r>
      </w:hyperlink>
      <w:r w:rsidR="005D3372">
        <w:t xml:space="preserve"> </w:t>
      </w:r>
    </w:p>
    <w:p w14:paraId="24F71098" w14:textId="77777777" w:rsidR="00912269" w:rsidRDefault="00912269" w:rsidP="00912269">
      <w:pPr>
        <w:rPr>
          <w:i/>
        </w:rPr>
      </w:pPr>
      <w:r>
        <w:rPr>
          <w:i/>
        </w:rPr>
        <w:t xml:space="preserve">Link to </w:t>
      </w:r>
      <w:r w:rsidR="00FA1AE2">
        <w:rPr>
          <w:i/>
        </w:rPr>
        <w:t xml:space="preserve">additional </w:t>
      </w:r>
      <w:r>
        <w:rPr>
          <w:i/>
        </w:rPr>
        <w:t>F</w:t>
      </w:r>
      <w:r w:rsidR="009579DF">
        <w:rPr>
          <w:i/>
        </w:rPr>
        <w:t>requently Asked Questions (F</w:t>
      </w:r>
      <w:r>
        <w:rPr>
          <w:i/>
        </w:rPr>
        <w:t>AQs</w:t>
      </w:r>
      <w:r w:rsidR="009579DF">
        <w:rPr>
          <w:i/>
        </w:rPr>
        <w:t>) and Other Information</w:t>
      </w:r>
      <w:r>
        <w:rPr>
          <w:i/>
        </w:rPr>
        <w:t>:</w:t>
      </w:r>
    </w:p>
    <w:p w14:paraId="35446A77" w14:textId="77777777" w:rsidR="00FA1AE2" w:rsidRDefault="00912269" w:rsidP="00912269">
      <w:r w:rsidRPr="00912269">
        <w:t>Please visit</w:t>
      </w:r>
      <w:r>
        <w:t xml:space="preserve"> the Renewing Communities section of The Opportunity Institute website (</w:t>
      </w:r>
      <w:r w:rsidRPr="00912269">
        <w:t>http://theopportunityinstitute.org/</w:t>
      </w:r>
      <w:r>
        <w:t>)</w:t>
      </w:r>
      <w:r w:rsidRPr="00912269">
        <w:t xml:space="preserve">. We </w:t>
      </w:r>
      <w:r>
        <w:t xml:space="preserve">strongly </w:t>
      </w:r>
      <w:r w:rsidRPr="00912269">
        <w:t>recommend that applicants check the site regularly for updates to the FAQs and other relevant information.</w:t>
      </w:r>
    </w:p>
    <w:p w14:paraId="1CB52981" w14:textId="2E4F2636" w:rsidR="00912269" w:rsidRDefault="00FA1AE2" w:rsidP="00FA1AE2">
      <w:r>
        <w:t xml:space="preserve">Please submit any questions in writing to </w:t>
      </w:r>
      <w:hyperlink r:id="rId11" w:history="1">
        <w:r w:rsidR="002D02FD">
          <w:rPr>
            <w:rStyle w:val="Hyperlink"/>
          </w:rPr>
          <w:t>l</w:t>
        </w:r>
        <w:r w:rsidRPr="00A1266A">
          <w:rPr>
            <w:rStyle w:val="Hyperlink"/>
          </w:rPr>
          <w:t>aura@theopportunityinstitute.org</w:t>
        </w:r>
      </w:hyperlink>
      <w:r>
        <w:t xml:space="preserve"> by Friday, </w:t>
      </w:r>
      <w:r w:rsidR="00FC68FC">
        <w:t>December 4</w:t>
      </w:r>
      <w:r>
        <w:t>, 2015</w:t>
      </w:r>
      <w:r w:rsidR="00700239">
        <w:t xml:space="preserve"> at 5:00 pm</w:t>
      </w:r>
      <w:r>
        <w:t>. Updated FAQs will be posted in response to the questions. Questions will also be a</w:t>
      </w:r>
      <w:r w:rsidR="00012201">
        <w:t>ddresse</w:t>
      </w:r>
      <w:r>
        <w:t>d in a webinar on</w:t>
      </w:r>
      <w:r w:rsidR="006E04E9">
        <w:t xml:space="preserve"> Friday morning, December 11</w:t>
      </w:r>
      <w:r w:rsidR="009C4CD9">
        <w:t>, 2015</w:t>
      </w:r>
      <w:r w:rsidR="006E04E9">
        <w:t>.</w:t>
      </w:r>
      <w:r>
        <w:t xml:space="preserve"> </w:t>
      </w:r>
    </w:p>
    <w:p w14:paraId="6D05FE45" w14:textId="77777777" w:rsidR="0037265F" w:rsidRPr="0037265F" w:rsidRDefault="0037265F" w:rsidP="003A6A05"/>
    <w:p w14:paraId="19F8970D" w14:textId="77777777" w:rsidR="00FA1AE2" w:rsidRDefault="00FA1AE2">
      <w:r>
        <w:br w:type="page"/>
      </w:r>
    </w:p>
    <w:p w14:paraId="70C79C78" w14:textId="77777777" w:rsidR="008C7BEE" w:rsidRDefault="00A145C5" w:rsidP="00FA1AE2">
      <w:pPr>
        <w:pStyle w:val="Heading1"/>
      </w:pPr>
      <w:bookmarkStart w:id="16" w:name="_Toc434571649"/>
      <w:r>
        <w:lastRenderedPageBreak/>
        <w:t>Appendix</w:t>
      </w:r>
      <w:bookmarkEnd w:id="16"/>
    </w:p>
    <w:p w14:paraId="34CAA420" w14:textId="77777777" w:rsidR="009D40FB" w:rsidRPr="00983B0A" w:rsidRDefault="00905280" w:rsidP="00B90ABF">
      <w:pPr>
        <w:pStyle w:val="Heading2"/>
      </w:pPr>
      <w:bookmarkStart w:id="17" w:name="_Toc434571650"/>
      <w:r w:rsidRPr="00983B0A">
        <w:t xml:space="preserve">Form A: </w:t>
      </w:r>
      <w:r w:rsidR="005D3372">
        <w:t xml:space="preserve">Information Required on </w:t>
      </w:r>
      <w:r w:rsidR="00FE6D46" w:rsidRPr="00983B0A">
        <w:t>Cover Page</w:t>
      </w:r>
      <w:bookmarkEnd w:id="17"/>
    </w:p>
    <w:p w14:paraId="5D073544" w14:textId="77777777" w:rsidR="00AB44E0" w:rsidRDefault="00AB44E0" w:rsidP="00B61973">
      <w:pPr>
        <w:pBdr>
          <w:top w:val="single" w:sz="4" w:space="1" w:color="auto"/>
          <w:left w:val="single" w:sz="4" w:space="4" w:color="auto"/>
          <w:bottom w:val="single" w:sz="4" w:space="1" w:color="auto"/>
          <w:right w:val="single" w:sz="4" w:space="4" w:color="auto"/>
        </w:pBdr>
        <w:tabs>
          <w:tab w:val="right" w:pos="9360"/>
        </w:tabs>
        <w:jc w:val="both"/>
      </w:pPr>
    </w:p>
    <w:p w14:paraId="78936324" w14:textId="77777777" w:rsidR="00FE6D46" w:rsidRPr="007C3DE8" w:rsidRDefault="00FE6D46" w:rsidP="00B61973">
      <w:pPr>
        <w:pBdr>
          <w:top w:val="single" w:sz="4" w:space="1" w:color="auto"/>
          <w:left w:val="single" w:sz="4" w:space="4" w:color="auto"/>
          <w:bottom w:val="single" w:sz="4" w:space="1" w:color="auto"/>
          <w:right w:val="single" w:sz="4" w:space="4" w:color="auto"/>
        </w:pBdr>
        <w:tabs>
          <w:tab w:val="right" w:pos="9360"/>
        </w:tabs>
        <w:jc w:val="both"/>
      </w:pPr>
      <w:r w:rsidRPr="007C3DE8">
        <w:t>Applicant:</w:t>
      </w:r>
      <w:r w:rsidR="00B61973">
        <w:tab/>
      </w:r>
      <w:r w:rsidRPr="007C3DE8">
        <w:t xml:space="preserve"> </w:t>
      </w:r>
      <w:r w:rsidR="00700239">
        <w:t>_____</w:t>
      </w:r>
      <w:r w:rsidRPr="007C3DE8">
        <w:t>_______________________________________________________________________</w:t>
      </w:r>
    </w:p>
    <w:p w14:paraId="494F5C6E" w14:textId="77777777" w:rsidR="00FE6D46" w:rsidRPr="007C3DE8" w:rsidRDefault="00FE6D46" w:rsidP="00B61973">
      <w:pPr>
        <w:pBdr>
          <w:top w:val="single" w:sz="4" w:space="1" w:color="auto"/>
          <w:left w:val="single" w:sz="4" w:space="4" w:color="auto"/>
          <w:bottom w:val="single" w:sz="4" w:space="1" w:color="auto"/>
          <w:right w:val="single" w:sz="4" w:space="4" w:color="auto"/>
        </w:pBdr>
        <w:tabs>
          <w:tab w:val="right" w:pos="9360"/>
        </w:tabs>
        <w:spacing w:after="0"/>
        <w:jc w:val="both"/>
      </w:pPr>
      <w:r w:rsidRPr="007C3DE8">
        <w:t>Name of Representative Submitting Application:</w:t>
      </w:r>
      <w:r w:rsidR="00E27FE8">
        <w:tab/>
      </w:r>
      <w:r w:rsidRPr="007C3DE8">
        <w:t xml:space="preserve"> _____________</w:t>
      </w:r>
      <w:r w:rsidR="00B61973">
        <w:t>________________________________</w:t>
      </w:r>
    </w:p>
    <w:p w14:paraId="0499C7A6" w14:textId="77777777" w:rsidR="00FE6D46" w:rsidRPr="007C3DE8" w:rsidRDefault="00E27FE8" w:rsidP="00B61973">
      <w:pPr>
        <w:pBdr>
          <w:top w:val="single" w:sz="4" w:space="1" w:color="auto"/>
          <w:left w:val="single" w:sz="4" w:space="4" w:color="auto"/>
          <w:bottom w:val="single" w:sz="4" w:space="1" w:color="auto"/>
          <w:right w:val="single" w:sz="4" w:space="4" w:color="auto"/>
        </w:pBdr>
        <w:tabs>
          <w:tab w:val="right" w:pos="9360"/>
        </w:tabs>
        <w:spacing w:after="0"/>
        <w:jc w:val="both"/>
      </w:pPr>
      <w:r>
        <w:t>A</w:t>
      </w:r>
      <w:r w:rsidR="001A2F41">
        <w:t>ddress:</w:t>
      </w:r>
      <w:r w:rsidR="00B61973">
        <w:tab/>
      </w:r>
      <w:r w:rsidR="001A2F41">
        <w:t xml:space="preserve"> </w:t>
      </w:r>
      <w:r w:rsidR="00FE6D46" w:rsidRPr="007C3DE8">
        <w:t>_____________________________________________________________________________</w:t>
      </w:r>
    </w:p>
    <w:p w14:paraId="1A8CDD0F" w14:textId="77777777" w:rsidR="00FE6D46" w:rsidRPr="007C3DE8" w:rsidRDefault="00FE6D46" w:rsidP="00B61973">
      <w:pPr>
        <w:pBdr>
          <w:top w:val="single" w:sz="4" w:space="1" w:color="auto"/>
          <w:left w:val="single" w:sz="4" w:space="4" w:color="auto"/>
          <w:bottom w:val="single" w:sz="4" w:space="1" w:color="auto"/>
          <w:right w:val="single" w:sz="4" w:space="4" w:color="auto"/>
        </w:pBdr>
        <w:tabs>
          <w:tab w:val="right" w:pos="9360"/>
        </w:tabs>
        <w:spacing w:after="0"/>
        <w:jc w:val="both"/>
      </w:pPr>
      <w:r w:rsidRPr="007C3DE8">
        <w:t>Telephone:</w:t>
      </w:r>
      <w:r w:rsidR="00B61973">
        <w:tab/>
      </w:r>
      <w:r w:rsidRPr="007C3DE8">
        <w:t xml:space="preserve"> ___________________________________________________________________________</w:t>
      </w:r>
    </w:p>
    <w:p w14:paraId="2909534E" w14:textId="77777777" w:rsidR="00FE6D46" w:rsidRPr="007C3DE8" w:rsidRDefault="00FE6D46" w:rsidP="00B61973">
      <w:pPr>
        <w:pBdr>
          <w:top w:val="single" w:sz="4" w:space="1" w:color="auto"/>
          <w:left w:val="single" w:sz="4" w:space="4" w:color="auto"/>
          <w:bottom w:val="single" w:sz="4" w:space="1" w:color="auto"/>
          <w:right w:val="single" w:sz="4" w:space="4" w:color="auto"/>
        </w:pBdr>
        <w:tabs>
          <w:tab w:val="right" w:pos="9360"/>
        </w:tabs>
        <w:jc w:val="both"/>
      </w:pPr>
      <w:r w:rsidRPr="007C3DE8">
        <w:t>Email</w:t>
      </w:r>
      <w:r w:rsidR="00700239">
        <w:t>:  _______</w:t>
      </w:r>
      <w:r w:rsidRPr="007C3DE8">
        <w:t>________________________________________________________________________</w:t>
      </w:r>
    </w:p>
    <w:p w14:paraId="65CD9C6B" w14:textId="77777777" w:rsidR="00FE6D46" w:rsidRPr="007C3DE8" w:rsidRDefault="00FE6D46" w:rsidP="00B61973">
      <w:pPr>
        <w:pBdr>
          <w:top w:val="single" w:sz="4" w:space="1" w:color="auto"/>
          <w:left w:val="single" w:sz="4" w:space="4" w:color="auto"/>
          <w:bottom w:val="single" w:sz="4" w:space="1" w:color="auto"/>
          <w:right w:val="single" w:sz="4" w:space="4" w:color="auto"/>
        </w:pBdr>
        <w:tabs>
          <w:tab w:val="right" w:pos="9360"/>
        </w:tabs>
        <w:spacing w:after="0"/>
        <w:jc w:val="both"/>
      </w:pPr>
      <w:r w:rsidRPr="007C3DE8">
        <w:t>Contact Person for Application (if different from above):</w:t>
      </w:r>
      <w:r w:rsidR="00B61973">
        <w:tab/>
      </w:r>
      <w:r w:rsidRPr="007C3DE8">
        <w:t xml:space="preserve"> _______________________________________</w:t>
      </w:r>
    </w:p>
    <w:p w14:paraId="1BF6A0D8" w14:textId="77777777" w:rsidR="00FE6D46" w:rsidRPr="007C3DE8" w:rsidRDefault="00FE6D46" w:rsidP="00B61973">
      <w:pPr>
        <w:pBdr>
          <w:top w:val="single" w:sz="4" w:space="1" w:color="auto"/>
          <w:left w:val="single" w:sz="4" w:space="4" w:color="auto"/>
          <w:bottom w:val="single" w:sz="4" w:space="1" w:color="auto"/>
          <w:right w:val="single" w:sz="4" w:space="4" w:color="auto"/>
        </w:pBdr>
        <w:tabs>
          <w:tab w:val="right" w:pos="9360"/>
        </w:tabs>
        <w:spacing w:after="0"/>
        <w:jc w:val="both"/>
      </w:pPr>
      <w:r w:rsidRPr="007C3DE8">
        <w:t>Address:</w:t>
      </w:r>
      <w:r w:rsidR="00B61973">
        <w:tab/>
      </w:r>
      <w:r w:rsidR="00E27FE8">
        <w:t xml:space="preserve"> </w:t>
      </w:r>
      <w:r w:rsidRPr="007C3DE8">
        <w:t xml:space="preserve"> _____________________________________________________________________________</w:t>
      </w:r>
    </w:p>
    <w:p w14:paraId="5F854E7E" w14:textId="77777777" w:rsidR="00FE6D46" w:rsidRPr="007C3DE8" w:rsidRDefault="00FE6D46" w:rsidP="00B61973">
      <w:pPr>
        <w:pBdr>
          <w:top w:val="single" w:sz="4" w:space="1" w:color="auto"/>
          <w:left w:val="single" w:sz="4" w:space="4" w:color="auto"/>
          <w:bottom w:val="single" w:sz="4" w:space="1" w:color="auto"/>
          <w:right w:val="single" w:sz="4" w:space="4" w:color="auto"/>
        </w:pBdr>
        <w:tabs>
          <w:tab w:val="right" w:pos="9360"/>
        </w:tabs>
        <w:spacing w:after="0"/>
        <w:jc w:val="both"/>
      </w:pPr>
      <w:r w:rsidRPr="007C3DE8">
        <w:t>Telephone:</w:t>
      </w:r>
      <w:r w:rsidR="00E27FE8">
        <w:t xml:space="preserve"> </w:t>
      </w:r>
      <w:r w:rsidR="00B61973">
        <w:tab/>
      </w:r>
      <w:r w:rsidRPr="007C3DE8">
        <w:t xml:space="preserve"> ___________________________________________________________________________</w:t>
      </w:r>
    </w:p>
    <w:p w14:paraId="18211151" w14:textId="77777777" w:rsidR="00FE6D46" w:rsidRPr="007C3DE8" w:rsidRDefault="00FE6D46" w:rsidP="00B61973">
      <w:pPr>
        <w:pBdr>
          <w:top w:val="single" w:sz="4" w:space="1" w:color="auto"/>
          <w:left w:val="single" w:sz="4" w:space="4" w:color="auto"/>
          <w:bottom w:val="single" w:sz="4" w:space="1" w:color="auto"/>
          <w:right w:val="single" w:sz="4" w:space="4" w:color="auto"/>
        </w:pBdr>
        <w:tabs>
          <w:tab w:val="right" w:pos="9360"/>
        </w:tabs>
        <w:jc w:val="both"/>
      </w:pPr>
      <w:r w:rsidRPr="007C3DE8">
        <w:t>Email:</w:t>
      </w:r>
      <w:r w:rsidR="00700239">
        <w:t xml:space="preserve"> ________</w:t>
      </w:r>
      <w:r w:rsidRPr="007C3DE8">
        <w:t>_______________________________________________________________________</w:t>
      </w:r>
    </w:p>
    <w:p w14:paraId="47A20639" w14:textId="77777777" w:rsidR="00B61973" w:rsidRDefault="00B61973" w:rsidP="00B61973">
      <w:pPr>
        <w:pBdr>
          <w:top w:val="single" w:sz="4" w:space="1" w:color="auto"/>
          <w:left w:val="single" w:sz="4" w:space="4" w:color="auto"/>
          <w:bottom w:val="single" w:sz="4" w:space="1" w:color="auto"/>
          <w:right w:val="single" w:sz="4" w:space="4" w:color="auto"/>
        </w:pBdr>
        <w:tabs>
          <w:tab w:val="right" w:pos="9360"/>
        </w:tabs>
      </w:pPr>
    </w:p>
    <w:p w14:paraId="2DD5A295" w14:textId="77777777" w:rsidR="005336E7" w:rsidRPr="007C3DE8" w:rsidRDefault="005D3372" w:rsidP="00B61973">
      <w:pPr>
        <w:pBdr>
          <w:top w:val="single" w:sz="4" w:space="1" w:color="auto"/>
          <w:left w:val="single" w:sz="4" w:space="4" w:color="auto"/>
          <w:bottom w:val="single" w:sz="4" w:space="1" w:color="auto"/>
          <w:right w:val="single" w:sz="4" w:space="4" w:color="auto"/>
        </w:pBdr>
        <w:tabs>
          <w:tab w:val="right" w:pos="9360"/>
        </w:tabs>
      </w:pPr>
      <w:r>
        <w:t xml:space="preserve">Primary </w:t>
      </w:r>
      <w:r w:rsidR="00F33898" w:rsidRPr="007C3DE8">
        <w:t>Category:    __Prison-B</w:t>
      </w:r>
      <w:r w:rsidR="00FE6D46" w:rsidRPr="007C3DE8">
        <w:t xml:space="preserve">ased Program    </w:t>
      </w:r>
      <w:r w:rsidR="00B61973" w:rsidRPr="007C3DE8">
        <w:t>__</w:t>
      </w:r>
      <w:r w:rsidR="00B61973">
        <w:t>Jail</w:t>
      </w:r>
      <w:r w:rsidR="00B61973" w:rsidRPr="007C3DE8">
        <w:t>-Based Program      __</w:t>
      </w:r>
      <w:r w:rsidR="00B61973">
        <w:t>Community</w:t>
      </w:r>
      <w:r w:rsidR="00B61973" w:rsidRPr="007C3DE8">
        <w:t xml:space="preserve">-Based Program    </w:t>
      </w:r>
    </w:p>
    <w:p w14:paraId="77CAFADA" w14:textId="77777777" w:rsidR="00B61973" w:rsidRDefault="00B61973" w:rsidP="00B61973">
      <w:pPr>
        <w:pBdr>
          <w:top w:val="single" w:sz="4" w:space="1" w:color="auto"/>
          <w:left w:val="single" w:sz="4" w:space="4" w:color="auto"/>
          <w:bottom w:val="single" w:sz="4" w:space="1" w:color="auto"/>
          <w:right w:val="single" w:sz="4" w:space="4" w:color="auto"/>
        </w:pBdr>
        <w:tabs>
          <w:tab w:val="right" w:pos="9360"/>
        </w:tabs>
      </w:pPr>
      <w:r>
        <w:t>County</w:t>
      </w:r>
      <w:r w:rsidRPr="007C3DE8">
        <w:t xml:space="preserve">: </w:t>
      </w:r>
      <w:r>
        <w:t xml:space="preserve"> </w:t>
      </w:r>
      <w:r>
        <w:tab/>
      </w:r>
      <w:r w:rsidRPr="007C3DE8">
        <w:t>________________________________________________________________________</w:t>
      </w:r>
      <w:r>
        <w:t>______</w:t>
      </w:r>
    </w:p>
    <w:p w14:paraId="41067D66" w14:textId="77777777" w:rsidR="00B61973" w:rsidRDefault="00B61973" w:rsidP="00B61973">
      <w:pPr>
        <w:pBdr>
          <w:top w:val="single" w:sz="4" w:space="1" w:color="auto"/>
          <w:left w:val="single" w:sz="4" w:space="4" w:color="auto"/>
          <w:bottom w:val="single" w:sz="4" w:space="1" w:color="auto"/>
          <w:right w:val="single" w:sz="4" w:space="4" w:color="auto"/>
        </w:pBdr>
        <w:tabs>
          <w:tab w:val="right" w:pos="9360"/>
        </w:tabs>
      </w:pPr>
      <w:r>
        <w:t>Educational Institution</w:t>
      </w:r>
      <w:r w:rsidRPr="007C3DE8">
        <w:t>:</w:t>
      </w:r>
      <w:r>
        <w:tab/>
      </w:r>
      <w:r w:rsidRPr="007C3DE8">
        <w:t xml:space="preserve"> </w:t>
      </w:r>
      <w:r>
        <w:t xml:space="preserve"> </w:t>
      </w:r>
      <w:r w:rsidRPr="007C3DE8">
        <w:t>________________________________________</w:t>
      </w:r>
      <w:r>
        <w:t>_________________________</w:t>
      </w:r>
    </w:p>
    <w:p w14:paraId="310583CD" w14:textId="77777777" w:rsidR="00B61973" w:rsidRDefault="00B61973" w:rsidP="00B61973">
      <w:pPr>
        <w:pBdr>
          <w:top w:val="single" w:sz="4" w:space="1" w:color="auto"/>
          <w:left w:val="single" w:sz="4" w:space="4" w:color="auto"/>
          <w:bottom w:val="single" w:sz="4" w:space="1" w:color="auto"/>
          <w:right w:val="single" w:sz="4" w:space="4" w:color="auto"/>
        </w:pBdr>
        <w:tabs>
          <w:tab w:val="right" w:pos="9360"/>
        </w:tabs>
      </w:pPr>
      <w:r>
        <w:t>Correctional Institution</w:t>
      </w:r>
      <w:r w:rsidR="00FF4FA0">
        <w:t xml:space="preserve"> (if applicable)</w:t>
      </w:r>
      <w:r w:rsidRPr="007C3DE8">
        <w:t xml:space="preserve">: </w:t>
      </w:r>
      <w:r w:rsidR="00FF4FA0">
        <w:tab/>
        <w:t xml:space="preserve">  ______</w:t>
      </w:r>
      <w:r w:rsidRPr="007C3DE8">
        <w:t>____________________________</w:t>
      </w:r>
      <w:r w:rsidR="00FF4FA0">
        <w:t>__________________</w:t>
      </w:r>
      <w:r>
        <w:t>_</w:t>
      </w:r>
    </w:p>
    <w:p w14:paraId="3B9E2FD5" w14:textId="77777777" w:rsidR="00FF4FA0" w:rsidRDefault="00FF4FA0" w:rsidP="00B61973">
      <w:pPr>
        <w:pBdr>
          <w:top w:val="single" w:sz="4" w:space="1" w:color="auto"/>
          <w:left w:val="single" w:sz="4" w:space="4" w:color="auto"/>
          <w:bottom w:val="single" w:sz="4" w:space="1" w:color="auto"/>
          <w:right w:val="single" w:sz="4" w:space="4" w:color="auto"/>
        </w:pBdr>
        <w:tabs>
          <w:tab w:val="right" w:pos="9360"/>
        </w:tabs>
      </w:pPr>
      <w:r>
        <w:t>Proposed number of students served annually:    ______</w:t>
      </w:r>
      <w:r w:rsidRPr="007C3DE8">
        <w:t>_</w:t>
      </w:r>
    </w:p>
    <w:p w14:paraId="3E9DC87C" w14:textId="77777777" w:rsidR="005D3372" w:rsidRDefault="005D3372" w:rsidP="005D3372">
      <w:pPr>
        <w:pBdr>
          <w:top w:val="single" w:sz="4" w:space="1" w:color="auto"/>
          <w:left w:val="single" w:sz="4" w:space="4" w:color="auto"/>
          <w:bottom w:val="single" w:sz="4" w:space="1" w:color="auto"/>
          <w:right w:val="single" w:sz="4" w:space="4" w:color="auto"/>
        </w:pBdr>
        <w:tabs>
          <w:tab w:val="right" w:pos="9360"/>
        </w:tabs>
      </w:pPr>
      <w:r>
        <w:t>Requested grant amount</w:t>
      </w:r>
      <w:r w:rsidRPr="007C3DE8">
        <w:t>:</w:t>
      </w:r>
      <w:r>
        <w:tab/>
      </w:r>
      <w:r w:rsidRPr="007C3DE8">
        <w:t xml:space="preserve"> </w:t>
      </w:r>
      <w:r>
        <w:t xml:space="preserve"> </w:t>
      </w:r>
      <w:r w:rsidRPr="007C3DE8">
        <w:t>________________________________________</w:t>
      </w:r>
      <w:r>
        <w:t>_______________________</w:t>
      </w:r>
    </w:p>
    <w:p w14:paraId="4621092D" w14:textId="77777777" w:rsidR="005D3372" w:rsidRPr="00B90ABF" w:rsidRDefault="005D3372" w:rsidP="005D3372">
      <w:pPr>
        <w:pBdr>
          <w:top w:val="single" w:sz="4" w:space="1" w:color="auto"/>
          <w:left w:val="single" w:sz="4" w:space="4" w:color="auto"/>
          <w:bottom w:val="single" w:sz="4" w:space="1" w:color="auto"/>
          <w:right w:val="single" w:sz="4" w:space="4" w:color="auto"/>
        </w:pBdr>
        <w:tabs>
          <w:tab w:val="right" w:pos="9360"/>
        </w:tabs>
        <w:rPr>
          <w:u w:val="single"/>
        </w:rPr>
      </w:pPr>
      <w:r>
        <w:t>Total budget:</w:t>
      </w:r>
      <w:r>
        <w:rPr>
          <w:u w:val="single"/>
        </w:rPr>
        <w:tab/>
      </w:r>
    </w:p>
    <w:p w14:paraId="7C69CBCD" w14:textId="77777777" w:rsidR="005D3372" w:rsidRPr="00B90ABF" w:rsidRDefault="005D3372" w:rsidP="005D3372">
      <w:pPr>
        <w:pBdr>
          <w:top w:val="single" w:sz="4" w:space="1" w:color="auto"/>
          <w:left w:val="single" w:sz="4" w:space="4" w:color="auto"/>
          <w:bottom w:val="single" w:sz="4" w:space="1" w:color="auto"/>
          <w:right w:val="single" w:sz="4" w:space="4" w:color="auto"/>
        </w:pBdr>
        <w:tabs>
          <w:tab w:val="right" w:pos="9360"/>
        </w:tabs>
        <w:rPr>
          <w:u w:val="single"/>
        </w:rPr>
      </w:pPr>
      <w:r>
        <w:t xml:space="preserve">Amount and percentage of </w:t>
      </w:r>
      <w:r w:rsidR="00700239">
        <w:t xml:space="preserve">public </w:t>
      </w:r>
      <w:r>
        <w:t>match:</w:t>
      </w:r>
      <w:r>
        <w:rPr>
          <w:u w:val="single"/>
        </w:rPr>
        <w:tab/>
      </w:r>
    </w:p>
    <w:p w14:paraId="01BC6A1E" w14:textId="77777777" w:rsidR="004924D1" w:rsidRPr="007C3DE8" w:rsidRDefault="004924D1" w:rsidP="00B61973">
      <w:pPr>
        <w:pBdr>
          <w:top w:val="single" w:sz="4" w:space="1" w:color="auto"/>
          <w:left w:val="single" w:sz="4" w:space="4" w:color="auto"/>
          <w:bottom w:val="single" w:sz="4" w:space="1" w:color="auto"/>
          <w:right w:val="single" w:sz="4" w:space="4" w:color="auto"/>
        </w:pBdr>
        <w:tabs>
          <w:tab w:val="right" w:pos="9360"/>
        </w:tabs>
      </w:pPr>
      <w:r w:rsidRPr="007C3DE8">
        <w:t>Proposal Abstract (maximum 150 words):</w:t>
      </w:r>
    </w:p>
    <w:p w14:paraId="343FB114" w14:textId="77777777" w:rsidR="00F92C25" w:rsidRDefault="00F92C25" w:rsidP="003F56AB">
      <w:pPr>
        <w:pBdr>
          <w:top w:val="single" w:sz="4" w:space="1" w:color="auto"/>
          <w:left w:val="single" w:sz="4" w:space="4" w:color="auto"/>
          <w:bottom w:val="single" w:sz="4" w:space="1" w:color="auto"/>
          <w:right w:val="single" w:sz="4" w:space="4" w:color="auto"/>
        </w:pBdr>
        <w:rPr>
          <w:i/>
        </w:rPr>
      </w:pPr>
    </w:p>
    <w:p w14:paraId="0A791E3E" w14:textId="77777777" w:rsidR="00F92C25" w:rsidRDefault="00F92C25" w:rsidP="003F56AB">
      <w:pPr>
        <w:pBdr>
          <w:top w:val="single" w:sz="4" w:space="1" w:color="auto"/>
          <w:left w:val="single" w:sz="4" w:space="4" w:color="auto"/>
          <w:bottom w:val="single" w:sz="4" w:space="1" w:color="auto"/>
          <w:right w:val="single" w:sz="4" w:space="4" w:color="auto"/>
        </w:pBdr>
        <w:rPr>
          <w:i/>
        </w:rPr>
      </w:pPr>
    </w:p>
    <w:p w14:paraId="6389F010" w14:textId="77777777" w:rsidR="00F92C25" w:rsidRDefault="00F92C25" w:rsidP="003F56AB">
      <w:pPr>
        <w:pBdr>
          <w:top w:val="single" w:sz="4" w:space="1" w:color="auto"/>
          <w:left w:val="single" w:sz="4" w:space="4" w:color="auto"/>
          <w:bottom w:val="single" w:sz="4" w:space="1" w:color="auto"/>
          <w:right w:val="single" w:sz="4" w:space="4" w:color="auto"/>
        </w:pBdr>
        <w:rPr>
          <w:i/>
        </w:rPr>
      </w:pPr>
    </w:p>
    <w:p w14:paraId="3DCB70DA" w14:textId="77777777" w:rsidR="00F92C25" w:rsidRDefault="00F92C25" w:rsidP="003F56AB">
      <w:pPr>
        <w:pBdr>
          <w:top w:val="single" w:sz="4" w:space="1" w:color="auto"/>
          <w:left w:val="single" w:sz="4" w:space="4" w:color="auto"/>
          <w:bottom w:val="single" w:sz="4" w:space="1" w:color="auto"/>
          <w:right w:val="single" w:sz="4" w:space="4" w:color="auto"/>
        </w:pBdr>
        <w:rPr>
          <w:i/>
        </w:rPr>
      </w:pPr>
    </w:p>
    <w:p w14:paraId="40B52945" w14:textId="77777777" w:rsidR="002F0AD9" w:rsidRDefault="002F0AD9">
      <w:pPr>
        <w:rPr>
          <w:b/>
        </w:rPr>
      </w:pPr>
    </w:p>
    <w:p w14:paraId="00FD2040" w14:textId="6E4050E6" w:rsidR="005D3372" w:rsidRDefault="000B04DB" w:rsidP="00B90ABF">
      <w:pPr>
        <w:pStyle w:val="Heading2"/>
      </w:pPr>
      <w:bookmarkStart w:id="18" w:name="_Toc434571651"/>
      <w:r>
        <w:lastRenderedPageBreak/>
        <w:t>Form B</w:t>
      </w:r>
      <w:r w:rsidR="00A60D81">
        <w:t xml:space="preserve">: Proposed </w:t>
      </w:r>
      <w:r w:rsidR="003F56AB">
        <w:t>Budget</w:t>
      </w:r>
      <w:bookmarkEnd w:id="18"/>
    </w:p>
    <w:p w14:paraId="586F63E6" w14:textId="77777777" w:rsidR="004E73D1" w:rsidRDefault="004E73D1" w:rsidP="00CE286E">
      <w:pPr>
        <w:rPr>
          <w:b/>
        </w:rPr>
      </w:pPr>
    </w:p>
    <w:p w14:paraId="09CAE51C" w14:textId="77777777" w:rsidR="005D3372" w:rsidRPr="00742BAC" w:rsidRDefault="005D3372" w:rsidP="00CE286E">
      <w:pPr>
        <w:rPr>
          <w:b/>
          <w:u w:val="single"/>
        </w:rPr>
      </w:pPr>
      <w:r w:rsidRPr="005D3372">
        <w:rPr>
          <w:b/>
        </w:rPr>
        <w:t>Applicant Name: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7C41CF1" w14:textId="346C7207" w:rsidR="005D3372" w:rsidRPr="005D3372" w:rsidRDefault="005D3372" w:rsidP="00742BAC">
      <w:pPr>
        <w:jc w:val="center"/>
        <w:rPr>
          <w:b/>
        </w:rPr>
      </w:pPr>
      <w:r w:rsidRPr="005D3372">
        <w:rPr>
          <w:b/>
        </w:rPr>
        <w:t>Budget</w:t>
      </w:r>
    </w:p>
    <w:p w14:paraId="4997309D" w14:textId="77777777" w:rsidR="005D3372" w:rsidRPr="00414426" w:rsidRDefault="00742BAC" w:rsidP="00CE286E">
      <w:pPr>
        <w:rPr>
          <w:b/>
          <w:u w:val="single"/>
        </w:rPr>
      </w:pPr>
      <w:r>
        <w:rPr>
          <w:b/>
          <w:u w:val="single"/>
        </w:rPr>
        <w:t>Cash Expenses</w:t>
      </w:r>
      <w:r w:rsidR="00414426">
        <w:rPr>
          <w:b/>
        </w:rPr>
        <w:tab/>
      </w:r>
      <w:r w:rsidR="00414426">
        <w:rPr>
          <w:b/>
        </w:rPr>
        <w:tab/>
      </w:r>
      <w:r w:rsidR="00414426">
        <w:rPr>
          <w:b/>
        </w:rPr>
        <w:tab/>
      </w:r>
      <w:r w:rsidR="00414426">
        <w:rPr>
          <w:b/>
        </w:rPr>
        <w:tab/>
      </w:r>
      <w:r w:rsidR="00414426">
        <w:rPr>
          <w:b/>
        </w:rPr>
        <w:tab/>
      </w:r>
      <w:r w:rsidR="00414426">
        <w:rPr>
          <w:b/>
        </w:rPr>
        <w:tab/>
      </w:r>
      <w:r w:rsidR="00414426">
        <w:rPr>
          <w:b/>
        </w:rPr>
        <w:tab/>
      </w:r>
      <w:r w:rsidR="00414426">
        <w:rPr>
          <w:b/>
          <w:u w:val="single"/>
        </w:rPr>
        <w:t>Amount</w:t>
      </w:r>
    </w:p>
    <w:p w14:paraId="4830DE23" w14:textId="77777777" w:rsidR="00742BAC" w:rsidRDefault="005D3372" w:rsidP="00414426">
      <w:pPr>
        <w:spacing w:after="120" w:line="240" w:lineRule="auto"/>
        <w:rPr>
          <w:u w:val="single"/>
        </w:rPr>
      </w:pPr>
      <w:r>
        <w:rPr>
          <w:u w:val="single"/>
        </w:rPr>
        <w:t>Salaries</w:t>
      </w:r>
      <w:r w:rsidR="00742BAC">
        <w:rPr>
          <w:u w:val="single"/>
        </w:rPr>
        <w:t xml:space="preserve"> (list individual personnel by name or job title</w:t>
      </w:r>
      <w:r w:rsidR="00414426">
        <w:rPr>
          <w:u w:val="single"/>
        </w:rPr>
        <w:t xml:space="preserve"> and the amount</w:t>
      </w:r>
      <w:r w:rsidR="00742BAC">
        <w:rPr>
          <w:u w:val="single"/>
        </w:rPr>
        <w:t>)</w:t>
      </w:r>
    </w:p>
    <w:p w14:paraId="15C6BC29" w14:textId="77777777" w:rsidR="00742BAC" w:rsidRDefault="00742BAC" w:rsidP="00414426">
      <w:pPr>
        <w:spacing w:after="120" w:line="240" w:lineRule="auto"/>
        <w:rPr>
          <w:u w:val="single"/>
        </w:rPr>
      </w:pPr>
      <w:r w:rsidRPr="00742BAC">
        <w:tab/>
        <w:t>Job Title</w:t>
      </w:r>
      <w:r w:rsidRPr="00742BAC">
        <w:tab/>
      </w:r>
      <w:r>
        <w:tab/>
      </w:r>
      <w:r>
        <w:tab/>
      </w:r>
      <w:r>
        <w:tab/>
      </w:r>
      <w:r>
        <w:tab/>
      </w:r>
      <w:r w:rsidR="00414426">
        <w:t>$</w:t>
      </w:r>
      <w:r>
        <w:rPr>
          <w:u w:val="single"/>
        </w:rPr>
        <w:tab/>
      </w:r>
      <w:r>
        <w:rPr>
          <w:u w:val="single"/>
        </w:rPr>
        <w:tab/>
      </w:r>
      <w:r>
        <w:rPr>
          <w:u w:val="single"/>
        </w:rPr>
        <w:tab/>
      </w:r>
      <w:r>
        <w:rPr>
          <w:u w:val="single"/>
        </w:rPr>
        <w:tab/>
      </w:r>
      <w:r>
        <w:rPr>
          <w:u w:val="single"/>
        </w:rPr>
        <w:tab/>
      </w:r>
      <w:r>
        <w:rPr>
          <w:u w:val="single"/>
        </w:rPr>
        <w:tab/>
      </w:r>
    </w:p>
    <w:p w14:paraId="3FE17DF5" w14:textId="77777777" w:rsidR="004E73D1" w:rsidRDefault="004E73D1" w:rsidP="007F735C">
      <w:pPr>
        <w:spacing w:after="120" w:line="240" w:lineRule="auto"/>
        <w:rPr>
          <w:u w:val="single"/>
        </w:rPr>
      </w:pPr>
    </w:p>
    <w:p w14:paraId="556DDDE2" w14:textId="77777777" w:rsidR="00742BAC" w:rsidRPr="007F735C" w:rsidRDefault="00247282" w:rsidP="007F735C">
      <w:pPr>
        <w:spacing w:after="120" w:line="240" w:lineRule="auto"/>
      </w:pPr>
      <w:r>
        <w:rPr>
          <w:u w:val="single"/>
        </w:rPr>
        <w:t>Fringe b</w:t>
      </w:r>
      <w:r w:rsidR="00742BAC">
        <w:rPr>
          <w:u w:val="single"/>
        </w:rPr>
        <w:t>enefits</w:t>
      </w:r>
      <w:r w:rsidR="00742BAC">
        <w:tab/>
      </w:r>
      <w:r w:rsidR="00742BAC">
        <w:tab/>
      </w:r>
      <w:r w:rsidR="00742BAC">
        <w:tab/>
      </w:r>
      <w:r w:rsidR="00742BAC">
        <w:tab/>
      </w:r>
      <w:r w:rsidR="00742BAC">
        <w:tab/>
      </w:r>
      <w:r w:rsidR="00742BAC">
        <w:tab/>
      </w:r>
      <w:r w:rsidR="00414426">
        <w:t>$</w:t>
      </w:r>
      <w:r w:rsidR="00742BAC">
        <w:rPr>
          <w:u w:val="single"/>
        </w:rPr>
        <w:tab/>
      </w:r>
      <w:r w:rsidR="00742BAC">
        <w:rPr>
          <w:u w:val="single"/>
        </w:rPr>
        <w:tab/>
      </w:r>
      <w:r w:rsidR="00742BAC">
        <w:rPr>
          <w:u w:val="single"/>
        </w:rPr>
        <w:tab/>
      </w:r>
      <w:r w:rsidR="00742BAC">
        <w:rPr>
          <w:u w:val="single"/>
        </w:rPr>
        <w:tab/>
      </w:r>
      <w:r w:rsidR="00742BAC">
        <w:rPr>
          <w:u w:val="single"/>
        </w:rPr>
        <w:tab/>
      </w:r>
      <w:r w:rsidR="00742BAC">
        <w:rPr>
          <w:u w:val="single"/>
        </w:rPr>
        <w:tab/>
      </w:r>
    </w:p>
    <w:p w14:paraId="72E616D1" w14:textId="77777777" w:rsidR="00414426" w:rsidRDefault="00742BAC" w:rsidP="00414426">
      <w:pPr>
        <w:spacing w:after="120" w:line="240" w:lineRule="auto"/>
      </w:pPr>
      <w:r>
        <w:rPr>
          <w:u w:val="single"/>
        </w:rPr>
        <w:t>Subcontracts</w:t>
      </w:r>
      <w:r>
        <w:rPr>
          <w:rStyle w:val="FootnoteReference"/>
          <w:u w:val="single"/>
        </w:rPr>
        <w:footnoteReference w:id="3"/>
      </w:r>
      <w:r>
        <w:rPr>
          <w:u w:val="single"/>
        </w:rPr>
        <w:t xml:space="preserve"> (list each subcontract recipient and the amount)</w:t>
      </w:r>
    </w:p>
    <w:p w14:paraId="00064977" w14:textId="77777777" w:rsidR="00414426" w:rsidRDefault="00414426" w:rsidP="00414426">
      <w:pPr>
        <w:spacing w:after="120" w:line="240" w:lineRule="auto"/>
        <w:rPr>
          <w:u w:val="single"/>
        </w:rPr>
      </w:pPr>
      <w:r>
        <w:tab/>
        <w:t>Recipient</w:t>
      </w:r>
      <w:r>
        <w:tab/>
      </w:r>
      <w:r>
        <w:tab/>
      </w:r>
      <w:r>
        <w:tab/>
      </w:r>
      <w:r>
        <w:tab/>
      </w:r>
      <w:r>
        <w:tab/>
        <w:t>$</w:t>
      </w:r>
      <w:r>
        <w:rPr>
          <w:u w:val="single"/>
        </w:rPr>
        <w:tab/>
      </w:r>
      <w:r>
        <w:rPr>
          <w:u w:val="single"/>
        </w:rPr>
        <w:tab/>
      </w:r>
      <w:r>
        <w:rPr>
          <w:u w:val="single"/>
        </w:rPr>
        <w:tab/>
      </w:r>
      <w:r>
        <w:rPr>
          <w:u w:val="single"/>
        </w:rPr>
        <w:tab/>
      </w:r>
      <w:r>
        <w:rPr>
          <w:u w:val="single"/>
        </w:rPr>
        <w:tab/>
      </w:r>
      <w:r>
        <w:rPr>
          <w:u w:val="single"/>
        </w:rPr>
        <w:tab/>
      </w:r>
    </w:p>
    <w:p w14:paraId="0C3CFF53" w14:textId="48A9E756" w:rsidR="00414426" w:rsidRPr="00414426" w:rsidRDefault="00414426" w:rsidP="00414426">
      <w:pPr>
        <w:spacing w:after="120" w:line="240" w:lineRule="auto"/>
        <w:rPr>
          <w:u w:val="single"/>
        </w:rPr>
      </w:pPr>
      <w:r>
        <w:tab/>
      </w:r>
    </w:p>
    <w:p w14:paraId="1B1BC343" w14:textId="77777777" w:rsidR="00742BAC" w:rsidRPr="00414426" w:rsidRDefault="00742BAC" w:rsidP="00414426">
      <w:pPr>
        <w:spacing w:after="120" w:line="240" w:lineRule="auto"/>
        <w:rPr>
          <w:u w:val="single"/>
        </w:rPr>
      </w:pPr>
      <w:r>
        <w:rPr>
          <w:u w:val="single"/>
        </w:rPr>
        <w:t>Travel</w:t>
      </w:r>
      <w:r w:rsidR="00867248">
        <w:rPr>
          <w:u w:val="single"/>
        </w:rPr>
        <w:t xml:space="preserve"> and professional development</w:t>
      </w:r>
      <w:r w:rsidR="00414426">
        <w:tab/>
      </w:r>
      <w:r w:rsidR="00414426">
        <w:tab/>
      </w:r>
      <w:r w:rsidR="00414426">
        <w:tab/>
        <w:t>$</w:t>
      </w:r>
      <w:r w:rsidR="00414426">
        <w:rPr>
          <w:u w:val="single"/>
        </w:rPr>
        <w:tab/>
      </w:r>
      <w:r w:rsidR="00414426">
        <w:rPr>
          <w:u w:val="single"/>
        </w:rPr>
        <w:tab/>
      </w:r>
      <w:r w:rsidR="00414426">
        <w:rPr>
          <w:u w:val="single"/>
        </w:rPr>
        <w:tab/>
      </w:r>
      <w:r w:rsidR="00414426">
        <w:rPr>
          <w:u w:val="single"/>
        </w:rPr>
        <w:tab/>
      </w:r>
      <w:r w:rsidR="00414426">
        <w:rPr>
          <w:u w:val="single"/>
        </w:rPr>
        <w:tab/>
      </w:r>
      <w:r w:rsidR="00414426">
        <w:rPr>
          <w:u w:val="single"/>
        </w:rPr>
        <w:tab/>
      </w:r>
    </w:p>
    <w:p w14:paraId="131E93A3" w14:textId="77777777" w:rsidR="00742BAC" w:rsidRPr="00414426" w:rsidRDefault="00742BAC" w:rsidP="00414426">
      <w:pPr>
        <w:spacing w:after="120" w:line="240" w:lineRule="auto"/>
        <w:rPr>
          <w:u w:val="single"/>
        </w:rPr>
      </w:pPr>
      <w:r>
        <w:rPr>
          <w:u w:val="single"/>
        </w:rPr>
        <w:t>Supplies</w:t>
      </w:r>
      <w:r w:rsidR="00414426">
        <w:tab/>
      </w:r>
      <w:r w:rsidR="00414426">
        <w:tab/>
      </w:r>
      <w:r w:rsidR="00414426">
        <w:tab/>
      </w:r>
      <w:r w:rsidR="00414426">
        <w:tab/>
      </w:r>
      <w:r w:rsidR="00414426">
        <w:tab/>
      </w:r>
      <w:r w:rsidR="00414426">
        <w:tab/>
        <w:t>$</w:t>
      </w:r>
      <w:r w:rsidR="00414426">
        <w:rPr>
          <w:u w:val="single"/>
        </w:rPr>
        <w:tab/>
      </w:r>
      <w:r w:rsidR="00414426">
        <w:rPr>
          <w:u w:val="single"/>
        </w:rPr>
        <w:tab/>
      </w:r>
      <w:r w:rsidR="00414426">
        <w:rPr>
          <w:u w:val="single"/>
        </w:rPr>
        <w:tab/>
      </w:r>
      <w:r w:rsidR="00414426">
        <w:rPr>
          <w:u w:val="single"/>
        </w:rPr>
        <w:tab/>
      </w:r>
      <w:r w:rsidR="00414426">
        <w:rPr>
          <w:u w:val="single"/>
        </w:rPr>
        <w:tab/>
      </w:r>
      <w:r w:rsidR="00414426">
        <w:rPr>
          <w:u w:val="single"/>
        </w:rPr>
        <w:tab/>
      </w:r>
    </w:p>
    <w:p w14:paraId="1712A19E" w14:textId="77777777" w:rsidR="00742BAC" w:rsidRDefault="00742BAC" w:rsidP="00414426">
      <w:pPr>
        <w:spacing w:after="120" w:line="240" w:lineRule="auto"/>
      </w:pPr>
      <w:r>
        <w:rPr>
          <w:u w:val="single"/>
        </w:rPr>
        <w:t>Other</w:t>
      </w:r>
      <w:r w:rsidR="00414426">
        <w:rPr>
          <w:u w:val="single"/>
        </w:rPr>
        <w:t xml:space="preserve"> (list each expense and the amount)</w:t>
      </w:r>
    </w:p>
    <w:p w14:paraId="40CEF63A" w14:textId="77777777" w:rsidR="00414426" w:rsidRDefault="00414426" w:rsidP="00414426">
      <w:pPr>
        <w:spacing w:after="120" w:line="240" w:lineRule="auto"/>
      </w:pPr>
      <w:r>
        <w:tab/>
        <w:t>Expense</w:t>
      </w:r>
      <w:r>
        <w:tab/>
      </w:r>
      <w:r>
        <w:tab/>
      </w:r>
      <w:r>
        <w:tab/>
      </w:r>
      <w:r>
        <w:tab/>
      </w:r>
      <w:r>
        <w:tab/>
        <w:t>$</w:t>
      </w:r>
      <w:r>
        <w:rPr>
          <w:u w:val="single"/>
        </w:rPr>
        <w:tab/>
      </w:r>
      <w:r>
        <w:rPr>
          <w:u w:val="single"/>
        </w:rPr>
        <w:tab/>
      </w:r>
      <w:r>
        <w:rPr>
          <w:u w:val="single"/>
        </w:rPr>
        <w:tab/>
      </w:r>
      <w:r>
        <w:rPr>
          <w:u w:val="single"/>
        </w:rPr>
        <w:tab/>
      </w:r>
      <w:r>
        <w:rPr>
          <w:u w:val="single"/>
        </w:rPr>
        <w:tab/>
      </w:r>
      <w:r>
        <w:rPr>
          <w:u w:val="single"/>
        </w:rPr>
        <w:tab/>
      </w:r>
    </w:p>
    <w:p w14:paraId="5B939037" w14:textId="77777777" w:rsidR="00742BAC" w:rsidRPr="00414426" w:rsidRDefault="00742BAC" w:rsidP="00414426">
      <w:pPr>
        <w:spacing w:after="120" w:line="240" w:lineRule="auto"/>
        <w:rPr>
          <w:u w:val="single"/>
        </w:rPr>
      </w:pPr>
      <w:r>
        <w:rPr>
          <w:u w:val="single"/>
        </w:rPr>
        <w:t>Indirect costs</w:t>
      </w:r>
      <w:r w:rsidR="00414426">
        <w:tab/>
      </w:r>
      <w:r w:rsidR="00414426">
        <w:tab/>
      </w:r>
      <w:r w:rsidR="00414426">
        <w:tab/>
      </w:r>
      <w:r w:rsidR="00414426">
        <w:tab/>
      </w:r>
      <w:r w:rsidR="00414426">
        <w:tab/>
      </w:r>
      <w:r w:rsidR="00414426">
        <w:tab/>
        <w:t>$</w:t>
      </w:r>
      <w:r w:rsidR="00414426">
        <w:rPr>
          <w:u w:val="single"/>
        </w:rPr>
        <w:tab/>
      </w:r>
      <w:r w:rsidR="00414426">
        <w:rPr>
          <w:u w:val="single"/>
        </w:rPr>
        <w:tab/>
      </w:r>
      <w:r w:rsidR="00414426">
        <w:rPr>
          <w:u w:val="single"/>
        </w:rPr>
        <w:tab/>
      </w:r>
      <w:r w:rsidR="00414426">
        <w:rPr>
          <w:u w:val="single"/>
        </w:rPr>
        <w:tab/>
      </w:r>
      <w:r w:rsidR="00414426">
        <w:rPr>
          <w:u w:val="single"/>
        </w:rPr>
        <w:tab/>
      </w:r>
      <w:r w:rsidR="00414426">
        <w:rPr>
          <w:u w:val="single"/>
        </w:rPr>
        <w:tab/>
      </w:r>
    </w:p>
    <w:p w14:paraId="471062E0" w14:textId="77777777" w:rsidR="00742BAC" w:rsidRPr="00414426" w:rsidRDefault="00742BAC" w:rsidP="00414426">
      <w:pPr>
        <w:spacing w:after="120" w:line="240" w:lineRule="auto"/>
        <w:rPr>
          <w:b/>
          <w:u w:val="single"/>
        </w:rPr>
      </w:pPr>
      <w:r w:rsidRPr="00414426">
        <w:rPr>
          <w:b/>
          <w:u w:val="single"/>
        </w:rPr>
        <w:t xml:space="preserve">Total </w:t>
      </w:r>
      <w:r w:rsidR="00414426" w:rsidRPr="00414426">
        <w:rPr>
          <w:b/>
          <w:u w:val="single"/>
        </w:rPr>
        <w:t xml:space="preserve">Cash </w:t>
      </w:r>
      <w:r w:rsidRPr="00414426">
        <w:rPr>
          <w:b/>
          <w:u w:val="single"/>
        </w:rPr>
        <w:t>Expenses</w:t>
      </w:r>
      <w:r w:rsidR="00414426">
        <w:rPr>
          <w:b/>
        </w:rPr>
        <w:tab/>
      </w:r>
      <w:r w:rsidR="00414426">
        <w:rPr>
          <w:b/>
        </w:rPr>
        <w:tab/>
      </w:r>
      <w:r w:rsidR="00414426">
        <w:rPr>
          <w:b/>
        </w:rPr>
        <w:tab/>
      </w:r>
      <w:r w:rsidR="00414426">
        <w:rPr>
          <w:b/>
        </w:rPr>
        <w:tab/>
      </w:r>
      <w:r w:rsidR="00414426">
        <w:rPr>
          <w:b/>
        </w:rPr>
        <w:tab/>
        <w:t>$</w:t>
      </w:r>
      <w:r w:rsidR="00414426">
        <w:rPr>
          <w:b/>
          <w:u w:val="single"/>
        </w:rPr>
        <w:tab/>
      </w:r>
      <w:r w:rsidR="00414426">
        <w:rPr>
          <w:b/>
          <w:u w:val="single"/>
        </w:rPr>
        <w:tab/>
      </w:r>
      <w:r w:rsidR="00414426">
        <w:rPr>
          <w:b/>
          <w:u w:val="single"/>
        </w:rPr>
        <w:tab/>
      </w:r>
      <w:r w:rsidR="00414426">
        <w:rPr>
          <w:b/>
          <w:u w:val="single"/>
        </w:rPr>
        <w:tab/>
      </w:r>
      <w:r w:rsidR="00414426">
        <w:rPr>
          <w:b/>
          <w:u w:val="single"/>
        </w:rPr>
        <w:tab/>
      </w:r>
      <w:r w:rsidR="00414426">
        <w:rPr>
          <w:b/>
          <w:u w:val="single"/>
        </w:rPr>
        <w:tab/>
      </w:r>
    </w:p>
    <w:p w14:paraId="5AADFD7F" w14:textId="77777777" w:rsidR="00867248" w:rsidRDefault="00867248" w:rsidP="00414426">
      <w:pPr>
        <w:spacing w:after="120" w:line="240" w:lineRule="auto"/>
        <w:rPr>
          <w:u w:val="single"/>
        </w:rPr>
      </w:pPr>
    </w:p>
    <w:p w14:paraId="5FE2CDF9" w14:textId="77777777" w:rsidR="00742BAC" w:rsidRDefault="00742BAC" w:rsidP="00414426">
      <w:pPr>
        <w:spacing w:after="120" w:line="240" w:lineRule="auto"/>
        <w:rPr>
          <w:u w:val="single"/>
        </w:rPr>
      </w:pPr>
    </w:p>
    <w:p w14:paraId="1B04A552" w14:textId="77777777" w:rsidR="00742BAC" w:rsidRDefault="00742BAC" w:rsidP="00414426">
      <w:pPr>
        <w:spacing w:after="120" w:line="240" w:lineRule="auto"/>
        <w:rPr>
          <w:b/>
        </w:rPr>
      </w:pPr>
      <w:r w:rsidRPr="00414426">
        <w:rPr>
          <w:b/>
          <w:u w:val="single"/>
        </w:rPr>
        <w:t xml:space="preserve">Expenses </w:t>
      </w:r>
      <w:r w:rsidR="00414426">
        <w:rPr>
          <w:b/>
          <w:u w:val="single"/>
        </w:rPr>
        <w:t>covered with</w:t>
      </w:r>
      <w:r w:rsidR="002510C9">
        <w:rPr>
          <w:b/>
          <w:u w:val="single"/>
        </w:rPr>
        <w:t xml:space="preserve"> public m</w:t>
      </w:r>
      <w:r w:rsidR="00414426">
        <w:rPr>
          <w:b/>
          <w:u w:val="single"/>
        </w:rPr>
        <w:t>atching f</w:t>
      </w:r>
      <w:r w:rsidRPr="00414426">
        <w:rPr>
          <w:b/>
          <w:u w:val="single"/>
        </w:rPr>
        <w:t>unds</w:t>
      </w:r>
      <w:r w:rsidR="00414426">
        <w:rPr>
          <w:b/>
        </w:rPr>
        <w:tab/>
      </w:r>
      <w:r w:rsidR="00247282">
        <w:rPr>
          <w:b/>
        </w:rPr>
        <w:tab/>
      </w:r>
      <w:r w:rsidR="00414426">
        <w:rPr>
          <w:b/>
          <w:u w:val="single"/>
        </w:rPr>
        <w:t>Amount</w:t>
      </w:r>
      <w:r w:rsidR="00414426">
        <w:rPr>
          <w:b/>
        </w:rPr>
        <w:tab/>
      </w:r>
      <w:r w:rsidR="00414426">
        <w:rPr>
          <w:b/>
        </w:rPr>
        <w:tab/>
      </w:r>
      <w:r w:rsidR="00414426">
        <w:rPr>
          <w:b/>
          <w:u w:val="single"/>
        </w:rPr>
        <w:t>In</w:t>
      </w:r>
      <w:r w:rsidR="00303006">
        <w:rPr>
          <w:b/>
          <w:u w:val="single"/>
        </w:rPr>
        <w:t>-</w:t>
      </w:r>
      <w:r w:rsidR="00414426">
        <w:rPr>
          <w:b/>
          <w:u w:val="single"/>
        </w:rPr>
        <w:t>Kind (</w:t>
      </w:r>
      <w:r w:rsidR="00FA1AE2">
        <w:rPr>
          <w:b/>
          <w:u w:val="single"/>
        </w:rPr>
        <w:t>yes/no</w:t>
      </w:r>
      <w:r w:rsidR="00414426">
        <w:rPr>
          <w:b/>
          <w:u w:val="single"/>
        </w:rPr>
        <w:t>)</w:t>
      </w:r>
    </w:p>
    <w:p w14:paraId="1C4708CB" w14:textId="77777777" w:rsidR="00414426" w:rsidRDefault="00414426" w:rsidP="00414426">
      <w:pPr>
        <w:spacing w:after="120" w:line="240" w:lineRule="auto"/>
        <w:rPr>
          <w:u w:val="single"/>
        </w:rPr>
      </w:pPr>
      <w:r>
        <w:t>Description</w:t>
      </w:r>
      <w:r>
        <w:tab/>
      </w:r>
      <w:r>
        <w:tab/>
      </w:r>
      <w:r>
        <w:tab/>
      </w:r>
      <w:r>
        <w:tab/>
      </w:r>
      <w:r>
        <w:tab/>
      </w:r>
      <w:r>
        <w:tab/>
        <w:t>$</w:t>
      </w:r>
      <w:r>
        <w:rPr>
          <w:u w:val="single"/>
        </w:rPr>
        <w:tab/>
      </w:r>
      <w:r>
        <w:rPr>
          <w:u w:val="single"/>
        </w:rPr>
        <w:tab/>
      </w:r>
      <w:r>
        <w:tab/>
      </w:r>
      <w:r>
        <w:rPr>
          <w:u w:val="single"/>
        </w:rPr>
        <w:tab/>
      </w:r>
      <w:r>
        <w:rPr>
          <w:u w:val="single"/>
        </w:rPr>
        <w:tab/>
      </w:r>
    </w:p>
    <w:p w14:paraId="391CA516" w14:textId="77777777" w:rsidR="004E73D1" w:rsidRDefault="004E73D1" w:rsidP="00414426">
      <w:pPr>
        <w:spacing w:after="120" w:line="240" w:lineRule="auto"/>
        <w:rPr>
          <w:b/>
          <w:u w:val="single"/>
        </w:rPr>
      </w:pPr>
    </w:p>
    <w:p w14:paraId="1AF6047A" w14:textId="77777777" w:rsidR="004E73D1" w:rsidRDefault="004E73D1" w:rsidP="00414426">
      <w:pPr>
        <w:spacing w:after="120" w:line="240" w:lineRule="auto"/>
        <w:rPr>
          <w:b/>
          <w:u w:val="single"/>
        </w:rPr>
      </w:pPr>
    </w:p>
    <w:p w14:paraId="7D88418E" w14:textId="77777777" w:rsidR="00414426" w:rsidRDefault="007F735C" w:rsidP="00414426">
      <w:pPr>
        <w:spacing w:after="120" w:line="240" w:lineRule="auto"/>
        <w:rPr>
          <w:noProof/>
        </w:rPr>
      </w:pPr>
      <w:r>
        <w:rPr>
          <w:b/>
          <w:u w:val="single"/>
        </w:rPr>
        <w:t xml:space="preserve">Total Matching Funds </w:t>
      </w:r>
      <w:r w:rsidR="00867248">
        <w:rPr>
          <w:b/>
        </w:rPr>
        <w:tab/>
      </w:r>
      <w:r w:rsidR="00867248">
        <w:rPr>
          <w:b/>
        </w:rPr>
        <w:tab/>
      </w:r>
      <w:r w:rsidR="00867248">
        <w:rPr>
          <w:b/>
        </w:rPr>
        <w:tab/>
      </w:r>
      <w:r>
        <w:tab/>
      </w:r>
      <w:r>
        <w:tab/>
        <w:t>$</w:t>
      </w:r>
      <w:r>
        <w:rPr>
          <w:u w:val="single"/>
        </w:rPr>
        <w:tab/>
      </w:r>
      <w:r>
        <w:rPr>
          <w:u w:val="single"/>
        </w:rPr>
        <w:tab/>
      </w:r>
    </w:p>
    <w:p w14:paraId="6F47EAC8" w14:textId="77777777" w:rsidR="00867248" w:rsidRDefault="00867248" w:rsidP="00414426">
      <w:pPr>
        <w:spacing w:after="120" w:line="240" w:lineRule="auto"/>
        <w:rPr>
          <w:b/>
          <w:noProof/>
          <w:u w:val="single"/>
        </w:rPr>
      </w:pPr>
    </w:p>
    <w:p w14:paraId="3506E0C9" w14:textId="77777777" w:rsidR="00247282" w:rsidRDefault="00247282" w:rsidP="00414426">
      <w:pPr>
        <w:spacing w:after="120" w:line="240" w:lineRule="auto"/>
        <w:rPr>
          <w:b/>
          <w:noProof/>
          <w:u w:val="single"/>
        </w:rPr>
      </w:pPr>
    </w:p>
    <w:p w14:paraId="63EA48AC" w14:textId="27727A99" w:rsidR="002510C9" w:rsidRDefault="00414426" w:rsidP="002510C9">
      <w:pPr>
        <w:spacing w:after="120" w:line="240" w:lineRule="auto"/>
        <w:rPr>
          <w:noProof/>
        </w:rPr>
      </w:pPr>
      <w:r>
        <w:rPr>
          <w:b/>
          <w:noProof/>
          <w:u w:val="single"/>
        </w:rPr>
        <w:t>TOTAL BUDGET</w:t>
      </w:r>
      <w:r>
        <w:rPr>
          <w:noProof/>
        </w:rPr>
        <w:tab/>
        <w:t xml:space="preserve"> (cash</w:t>
      </w:r>
      <w:r w:rsidR="007F735C">
        <w:rPr>
          <w:noProof/>
        </w:rPr>
        <w:t xml:space="preserve"> expenses</w:t>
      </w:r>
      <w:r w:rsidR="008B01E3">
        <w:rPr>
          <w:noProof/>
        </w:rPr>
        <w:t xml:space="preserve"> + </w:t>
      </w:r>
      <w:r w:rsidR="002510C9">
        <w:rPr>
          <w:noProof/>
        </w:rPr>
        <w:t>p</w:t>
      </w:r>
      <w:r w:rsidR="008B01E3">
        <w:rPr>
          <w:noProof/>
        </w:rPr>
        <w:t>ublic matching funds</w:t>
      </w:r>
      <w:r w:rsidR="002510C9">
        <w:rPr>
          <w:noProof/>
        </w:rPr>
        <w:t>)</w:t>
      </w:r>
      <w:r w:rsidR="002D02FD">
        <w:rPr>
          <w:noProof/>
        </w:rPr>
        <w:t xml:space="preserve"> </w:t>
      </w:r>
      <w:r w:rsidR="002510C9" w:rsidRPr="002D02FD">
        <w:rPr>
          <w:noProof/>
        </w:rPr>
        <w:t>$</w:t>
      </w:r>
      <w:r w:rsidR="002510C9">
        <w:rPr>
          <w:noProof/>
          <w:u w:val="single"/>
        </w:rPr>
        <w:tab/>
      </w:r>
      <w:r w:rsidR="002510C9">
        <w:rPr>
          <w:noProof/>
          <w:u w:val="single"/>
        </w:rPr>
        <w:tab/>
      </w:r>
      <w:r w:rsidR="002510C9">
        <w:rPr>
          <w:noProof/>
          <w:u w:val="single"/>
        </w:rPr>
        <w:tab/>
      </w:r>
      <w:r w:rsidR="002510C9">
        <w:rPr>
          <w:noProof/>
          <w:u w:val="single"/>
        </w:rPr>
        <w:tab/>
      </w:r>
      <w:r w:rsidR="002510C9">
        <w:rPr>
          <w:noProof/>
          <w:u w:val="single"/>
        </w:rPr>
        <w:tab/>
      </w:r>
    </w:p>
    <w:p w14:paraId="6B167ABC" w14:textId="77777777" w:rsidR="004E73D1" w:rsidRDefault="004E73D1" w:rsidP="008B01E3">
      <w:pPr>
        <w:spacing w:after="120" w:line="240" w:lineRule="auto"/>
        <w:rPr>
          <w:b/>
          <w:noProof/>
          <w:u w:val="single"/>
        </w:rPr>
      </w:pPr>
    </w:p>
    <w:p w14:paraId="2DF2DD88" w14:textId="77777777" w:rsidR="008B01E3" w:rsidRDefault="008B01E3" w:rsidP="008B01E3">
      <w:pPr>
        <w:spacing w:after="120" w:line="240" w:lineRule="auto"/>
        <w:rPr>
          <w:b/>
          <w:noProof/>
          <w:u w:val="single"/>
        </w:rPr>
      </w:pPr>
      <w:r>
        <w:rPr>
          <w:b/>
          <w:noProof/>
          <w:u w:val="single"/>
        </w:rPr>
        <w:lastRenderedPageBreak/>
        <w:t>If your project has other sources of funds, please list them here:</w:t>
      </w:r>
    </w:p>
    <w:p w14:paraId="59296539" w14:textId="77777777" w:rsidR="008B01E3" w:rsidRDefault="008B01E3" w:rsidP="008B01E3">
      <w:pPr>
        <w:spacing w:after="120" w:line="240" w:lineRule="auto"/>
        <w:rPr>
          <w:noProof/>
        </w:rPr>
      </w:pPr>
    </w:p>
    <w:p w14:paraId="241D2C1A" w14:textId="77777777" w:rsidR="008B01E3" w:rsidRDefault="008B01E3" w:rsidP="008B01E3">
      <w:pPr>
        <w:spacing w:after="120" w:line="240" w:lineRule="auto"/>
        <w:rPr>
          <w:b/>
          <w:noProof/>
          <w:u w:val="single"/>
        </w:rPr>
      </w:pPr>
      <w:r w:rsidRPr="008B01E3">
        <w:rPr>
          <w:noProof/>
        </w:rPr>
        <w:t>Source and Description</w:t>
      </w:r>
      <w:r w:rsidRPr="008B01E3">
        <w:rPr>
          <w:noProof/>
        </w:rPr>
        <w:tab/>
      </w:r>
      <w:r>
        <w:rPr>
          <w:noProof/>
        </w:rPr>
        <w:tab/>
      </w:r>
      <w:r>
        <w:rPr>
          <w:noProof/>
        </w:rPr>
        <w:tab/>
      </w:r>
      <w:r>
        <w:rPr>
          <w:noProof/>
        </w:rPr>
        <w:tab/>
      </w:r>
      <w:r>
        <w:rPr>
          <w:noProof/>
        </w:rPr>
        <w:tab/>
      </w:r>
      <w:r>
        <w:rPr>
          <w:noProof/>
        </w:rPr>
        <w:tab/>
      </w:r>
      <w:r>
        <w:rPr>
          <w:noProof/>
        </w:rPr>
        <w:tab/>
      </w:r>
      <w:r w:rsidRPr="002D02FD">
        <w:rPr>
          <w:noProof/>
        </w:rPr>
        <w:t>$</w:t>
      </w:r>
      <w:r w:rsidRPr="002D02FD">
        <w:rPr>
          <w:noProof/>
          <w:u w:val="single"/>
        </w:rPr>
        <w:t>____________</w:t>
      </w:r>
    </w:p>
    <w:p w14:paraId="0E31A69C" w14:textId="77777777" w:rsidR="008B01E3" w:rsidRDefault="008B01E3" w:rsidP="008B01E3">
      <w:pPr>
        <w:spacing w:after="120" w:line="240" w:lineRule="auto"/>
        <w:rPr>
          <w:b/>
          <w:noProof/>
          <w:u w:val="single"/>
        </w:rPr>
      </w:pPr>
      <w:r w:rsidRPr="008B01E3">
        <w:rPr>
          <w:noProof/>
        </w:rPr>
        <w:t>Source and Description</w:t>
      </w:r>
      <w:r w:rsidRPr="008B01E3">
        <w:rPr>
          <w:noProof/>
        </w:rPr>
        <w:tab/>
      </w:r>
      <w:r>
        <w:rPr>
          <w:noProof/>
        </w:rPr>
        <w:tab/>
      </w:r>
      <w:r>
        <w:rPr>
          <w:noProof/>
        </w:rPr>
        <w:tab/>
      </w:r>
      <w:r>
        <w:rPr>
          <w:noProof/>
        </w:rPr>
        <w:tab/>
      </w:r>
      <w:r>
        <w:rPr>
          <w:noProof/>
        </w:rPr>
        <w:tab/>
      </w:r>
      <w:r>
        <w:rPr>
          <w:noProof/>
        </w:rPr>
        <w:tab/>
      </w:r>
      <w:r>
        <w:rPr>
          <w:noProof/>
        </w:rPr>
        <w:tab/>
      </w:r>
      <w:r w:rsidRPr="002D02FD">
        <w:rPr>
          <w:noProof/>
        </w:rPr>
        <w:t>$</w:t>
      </w:r>
      <w:r w:rsidRPr="002D02FD">
        <w:rPr>
          <w:noProof/>
          <w:u w:val="single"/>
        </w:rPr>
        <w:t>____________</w:t>
      </w:r>
    </w:p>
    <w:p w14:paraId="21D154E3" w14:textId="77777777" w:rsidR="008B01E3" w:rsidRDefault="008B01E3" w:rsidP="008B01E3">
      <w:pPr>
        <w:spacing w:after="120" w:line="240" w:lineRule="auto"/>
        <w:rPr>
          <w:b/>
          <w:noProof/>
          <w:u w:val="single"/>
        </w:rPr>
      </w:pPr>
      <w:r w:rsidRPr="008B01E3">
        <w:rPr>
          <w:noProof/>
        </w:rPr>
        <w:t>Source and Description</w:t>
      </w:r>
      <w:r w:rsidRPr="008B01E3">
        <w:rPr>
          <w:noProof/>
        </w:rPr>
        <w:tab/>
      </w:r>
      <w:r>
        <w:rPr>
          <w:noProof/>
        </w:rPr>
        <w:tab/>
      </w:r>
      <w:r>
        <w:rPr>
          <w:noProof/>
        </w:rPr>
        <w:tab/>
      </w:r>
      <w:r>
        <w:rPr>
          <w:noProof/>
        </w:rPr>
        <w:tab/>
      </w:r>
      <w:r>
        <w:rPr>
          <w:noProof/>
        </w:rPr>
        <w:tab/>
      </w:r>
      <w:r>
        <w:rPr>
          <w:noProof/>
        </w:rPr>
        <w:tab/>
      </w:r>
      <w:r>
        <w:rPr>
          <w:noProof/>
        </w:rPr>
        <w:tab/>
      </w:r>
      <w:r w:rsidRPr="002D02FD">
        <w:rPr>
          <w:noProof/>
        </w:rPr>
        <w:t>$____________</w:t>
      </w:r>
    </w:p>
    <w:p w14:paraId="76B2545D" w14:textId="77777777" w:rsidR="008B01E3" w:rsidRPr="002D02FD" w:rsidRDefault="008B01E3" w:rsidP="008B01E3">
      <w:pPr>
        <w:spacing w:after="120" w:line="240" w:lineRule="auto"/>
        <w:rPr>
          <w:noProof/>
          <w:u w:val="single"/>
        </w:rPr>
      </w:pPr>
      <w:r w:rsidRPr="008B01E3">
        <w:rPr>
          <w:noProof/>
        </w:rPr>
        <w:t>Source and Description</w:t>
      </w:r>
      <w:r w:rsidRPr="008B01E3">
        <w:rPr>
          <w:noProof/>
        </w:rPr>
        <w:tab/>
      </w:r>
      <w:r>
        <w:rPr>
          <w:noProof/>
        </w:rPr>
        <w:tab/>
      </w:r>
      <w:r>
        <w:rPr>
          <w:noProof/>
        </w:rPr>
        <w:tab/>
      </w:r>
      <w:r>
        <w:rPr>
          <w:noProof/>
        </w:rPr>
        <w:tab/>
      </w:r>
      <w:r>
        <w:rPr>
          <w:noProof/>
        </w:rPr>
        <w:tab/>
      </w:r>
      <w:r>
        <w:rPr>
          <w:noProof/>
        </w:rPr>
        <w:tab/>
      </w:r>
      <w:r>
        <w:rPr>
          <w:noProof/>
        </w:rPr>
        <w:tab/>
      </w:r>
      <w:r w:rsidRPr="002D02FD">
        <w:rPr>
          <w:noProof/>
        </w:rPr>
        <w:t>$</w:t>
      </w:r>
      <w:r w:rsidRPr="002D02FD">
        <w:rPr>
          <w:noProof/>
          <w:u w:val="single"/>
        </w:rPr>
        <w:t>____________</w:t>
      </w:r>
    </w:p>
    <w:p w14:paraId="325B7410" w14:textId="77777777" w:rsidR="008B01E3" w:rsidRDefault="008B01E3" w:rsidP="002510C9">
      <w:pPr>
        <w:rPr>
          <w:b/>
        </w:rPr>
      </w:pPr>
    </w:p>
    <w:p w14:paraId="79806273" w14:textId="77777777" w:rsidR="008B01E3" w:rsidRDefault="008B01E3" w:rsidP="002510C9">
      <w:pPr>
        <w:rPr>
          <w:b/>
        </w:rPr>
      </w:pPr>
    </w:p>
    <w:p w14:paraId="4D4DD169" w14:textId="77777777" w:rsidR="008B01E3" w:rsidRDefault="008B01E3" w:rsidP="002510C9">
      <w:pPr>
        <w:rPr>
          <w:b/>
        </w:rPr>
      </w:pPr>
    </w:p>
    <w:p w14:paraId="3D6777E5" w14:textId="77777777" w:rsidR="002510C9" w:rsidRDefault="002510C9" w:rsidP="002510C9">
      <w:pPr>
        <w:rPr>
          <w:b/>
        </w:rPr>
      </w:pPr>
    </w:p>
    <w:p w14:paraId="456F625C" w14:textId="77777777" w:rsidR="002510C9" w:rsidRDefault="002510C9" w:rsidP="002510C9">
      <w:pPr>
        <w:tabs>
          <w:tab w:val="left" w:pos="10800"/>
          <w:tab w:val="right" w:pos="14760"/>
        </w:tabs>
        <w:rPr>
          <w:rFonts w:ascii="Calibri" w:hAnsi="Calibri" w:cs="Arial"/>
          <w:b/>
          <w:u w:val="single"/>
        </w:rPr>
      </w:pPr>
      <w:r w:rsidRPr="0013784B">
        <w:rPr>
          <w:rFonts w:ascii="Calibri" w:hAnsi="Calibri" w:cs="Arial"/>
          <w:b/>
          <w:u w:val="single"/>
        </w:rPr>
        <w:t>Authorizing Signature</w:t>
      </w:r>
    </w:p>
    <w:p w14:paraId="5D1D38EA" w14:textId="77777777" w:rsidR="002510C9" w:rsidRPr="006F743B" w:rsidRDefault="002510C9" w:rsidP="002510C9">
      <w:pPr>
        <w:tabs>
          <w:tab w:val="left" w:pos="10800"/>
          <w:tab w:val="right" w:pos="14760"/>
        </w:tabs>
        <w:ind w:firstLine="7"/>
        <w:rPr>
          <w:rFonts w:ascii="Calibri" w:hAnsi="Calibri" w:cs="Arial"/>
          <w:b/>
        </w:rPr>
      </w:pPr>
    </w:p>
    <w:p w14:paraId="451D4C83" w14:textId="77777777" w:rsidR="002510C9" w:rsidRPr="00145FB2" w:rsidRDefault="002510C9" w:rsidP="002510C9">
      <w:pPr>
        <w:tabs>
          <w:tab w:val="left" w:pos="10800"/>
          <w:tab w:val="right" w:pos="14760"/>
        </w:tabs>
        <w:ind w:firstLine="7"/>
        <w:rPr>
          <w:rFonts w:ascii="Calibri" w:hAnsi="Calibri" w:cs="Arial"/>
        </w:rPr>
      </w:pPr>
      <w:r w:rsidRPr="0013784B">
        <w:rPr>
          <w:rFonts w:ascii="Calibri" w:hAnsi="Calibri" w:cs="Arial"/>
        </w:rPr>
        <w:t>This budget has been reviewed and approved by the following individual responsible for financial reporting:</w:t>
      </w:r>
    </w:p>
    <w:p w14:paraId="100D1FD3" w14:textId="77777777" w:rsidR="002510C9" w:rsidRDefault="002510C9" w:rsidP="002510C9">
      <w:pPr>
        <w:tabs>
          <w:tab w:val="left" w:pos="10800"/>
          <w:tab w:val="right" w:pos="14760"/>
        </w:tabs>
        <w:ind w:firstLine="7"/>
        <w:rPr>
          <w:rFonts w:ascii="Calibri" w:hAnsi="Calibri" w:cs="Arial"/>
          <w:b/>
        </w:rPr>
      </w:pPr>
    </w:p>
    <w:p w14:paraId="628A9A26" w14:textId="77777777" w:rsidR="002510C9" w:rsidRDefault="002510C9" w:rsidP="002510C9">
      <w:pPr>
        <w:tabs>
          <w:tab w:val="left" w:pos="10800"/>
          <w:tab w:val="right" w:pos="14760"/>
        </w:tabs>
        <w:ind w:firstLine="7"/>
        <w:rPr>
          <w:rFonts w:ascii="Calibri" w:hAnsi="Calibri" w:cs="Arial"/>
        </w:rPr>
      </w:pPr>
      <w:r w:rsidRPr="0013784B">
        <w:rPr>
          <w:rFonts w:ascii="Calibri" w:hAnsi="Calibri" w:cs="Arial"/>
        </w:rPr>
        <w:t>Name/Title:</w:t>
      </w:r>
      <w:r>
        <w:rPr>
          <w:rFonts w:ascii="Calibri" w:hAnsi="Calibri" w:cs="Arial"/>
        </w:rPr>
        <w:t xml:space="preserve"> ___________________________________________________________________________</w:t>
      </w:r>
    </w:p>
    <w:p w14:paraId="7A487BFE" w14:textId="77777777" w:rsidR="002510C9" w:rsidRPr="00145FB2" w:rsidRDefault="002510C9" w:rsidP="002510C9">
      <w:pPr>
        <w:tabs>
          <w:tab w:val="left" w:pos="10800"/>
          <w:tab w:val="right" w:pos="14760"/>
        </w:tabs>
        <w:ind w:firstLine="7"/>
        <w:rPr>
          <w:rFonts w:ascii="Calibri" w:hAnsi="Calibri" w:cs="Arial"/>
        </w:rPr>
      </w:pPr>
    </w:p>
    <w:p w14:paraId="49C9B775" w14:textId="77777777" w:rsidR="002510C9" w:rsidRPr="00145FB2" w:rsidRDefault="002510C9" w:rsidP="002510C9">
      <w:pPr>
        <w:tabs>
          <w:tab w:val="left" w:pos="10800"/>
          <w:tab w:val="right" w:pos="14760"/>
        </w:tabs>
        <w:ind w:firstLine="7"/>
        <w:rPr>
          <w:rFonts w:ascii="Calibri" w:hAnsi="Calibri" w:cs="Arial"/>
        </w:rPr>
      </w:pPr>
      <w:r w:rsidRPr="0013784B">
        <w:rPr>
          <w:rFonts w:ascii="Calibri" w:hAnsi="Calibri" w:cs="Arial"/>
        </w:rPr>
        <w:t>Authorized Signature:</w:t>
      </w:r>
      <w:r>
        <w:rPr>
          <w:rFonts w:ascii="Calibri" w:hAnsi="Calibri" w:cs="Arial"/>
        </w:rPr>
        <w:t xml:space="preserve"> ___________________________________________________________________</w:t>
      </w:r>
    </w:p>
    <w:p w14:paraId="5A8FEAD4" w14:textId="77777777" w:rsidR="002510C9" w:rsidRDefault="002510C9" w:rsidP="002510C9">
      <w:pPr>
        <w:tabs>
          <w:tab w:val="left" w:pos="10800"/>
          <w:tab w:val="right" w:pos="14760"/>
        </w:tabs>
        <w:ind w:firstLine="7"/>
        <w:rPr>
          <w:rFonts w:ascii="Calibri" w:hAnsi="Calibri" w:cs="Arial"/>
        </w:rPr>
      </w:pPr>
    </w:p>
    <w:p w14:paraId="5E30B35C" w14:textId="77777777" w:rsidR="002510C9" w:rsidRPr="00145FB2" w:rsidRDefault="002510C9" w:rsidP="002510C9">
      <w:pPr>
        <w:tabs>
          <w:tab w:val="left" w:pos="10800"/>
          <w:tab w:val="right" w:pos="14760"/>
        </w:tabs>
        <w:ind w:firstLine="7"/>
        <w:rPr>
          <w:rFonts w:ascii="Calibri" w:hAnsi="Calibri" w:cs="Arial"/>
        </w:rPr>
      </w:pPr>
      <w:r w:rsidRPr="0013784B">
        <w:rPr>
          <w:rFonts w:ascii="Calibri" w:hAnsi="Calibri" w:cs="Arial"/>
        </w:rPr>
        <w:t>Date:</w:t>
      </w:r>
      <w:r>
        <w:rPr>
          <w:rFonts w:ascii="Calibri" w:hAnsi="Calibri" w:cs="Arial"/>
        </w:rPr>
        <w:t xml:space="preserve"> _____________________________</w:t>
      </w:r>
    </w:p>
    <w:p w14:paraId="0D5DC34A" w14:textId="77777777" w:rsidR="002510C9" w:rsidRDefault="002510C9" w:rsidP="002510C9">
      <w:pPr>
        <w:tabs>
          <w:tab w:val="left" w:pos="10800"/>
          <w:tab w:val="right" w:pos="14760"/>
        </w:tabs>
        <w:ind w:firstLine="7"/>
        <w:rPr>
          <w:rFonts w:ascii="Calibri" w:hAnsi="Calibri" w:cs="Arial"/>
          <w:b/>
        </w:rPr>
      </w:pPr>
      <w:r>
        <w:rPr>
          <w:rFonts w:ascii="Calibri" w:hAnsi="Calibri" w:cs="Arial"/>
          <w:b/>
        </w:rPr>
        <w:t xml:space="preserve"> </w:t>
      </w:r>
    </w:p>
    <w:p w14:paraId="6119B2D1" w14:textId="77777777" w:rsidR="006F743B" w:rsidRDefault="006F743B" w:rsidP="000B04DB">
      <w:pPr>
        <w:rPr>
          <w:b/>
        </w:rPr>
        <w:sectPr w:rsidR="006F743B" w:rsidSect="00A730E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31EDD9F6" w14:textId="77777777" w:rsidR="000B04DB" w:rsidRPr="00B90ABF" w:rsidRDefault="000B04DB" w:rsidP="00B90ABF">
      <w:pPr>
        <w:pStyle w:val="Heading2"/>
        <w:rPr>
          <w:highlight w:val="yellow"/>
        </w:rPr>
      </w:pPr>
      <w:bookmarkStart w:id="19" w:name="_Toc434571652"/>
      <w:r w:rsidRPr="0083686F">
        <w:lastRenderedPageBreak/>
        <w:t xml:space="preserve">Form C: </w:t>
      </w:r>
      <w:proofErr w:type="spellStart"/>
      <w:r w:rsidR="005C4B54" w:rsidRPr="0083686F">
        <w:t>Workplan</w:t>
      </w:r>
      <w:proofErr w:type="spellEnd"/>
      <w:r w:rsidR="007F735C">
        <w:t xml:space="preserve"> and</w:t>
      </w:r>
      <w:r w:rsidR="00B90ABF">
        <w:t xml:space="preserve"> Objectives</w:t>
      </w:r>
      <w:bookmarkEnd w:id="19"/>
      <w:r w:rsidR="007F735C">
        <w:t xml:space="preserve"> </w:t>
      </w:r>
    </w:p>
    <w:p w14:paraId="0CCF8AA3" w14:textId="77777777" w:rsidR="00AB6601" w:rsidRPr="00AB6601" w:rsidRDefault="00AB6601" w:rsidP="000B04DB">
      <w:r>
        <w:t>Please include one page for each identified objective.</w:t>
      </w:r>
    </w:p>
    <w:tbl>
      <w:tblPr>
        <w:tblStyle w:val="TableGrid"/>
        <w:tblW w:w="5000" w:type="pct"/>
        <w:tblLook w:val="04A0" w:firstRow="1" w:lastRow="0" w:firstColumn="1" w:lastColumn="0" w:noHBand="0" w:noVBand="1"/>
      </w:tblPr>
      <w:tblGrid>
        <w:gridCol w:w="3294"/>
        <w:gridCol w:w="3294"/>
        <w:gridCol w:w="3294"/>
        <w:gridCol w:w="3294"/>
      </w:tblGrid>
      <w:tr w:rsidR="005C4B54" w14:paraId="381113C9" w14:textId="77777777">
        <w:tc>
          <w:tcPr>
            <w:tcW w:w="5000" w:type="pct"/>
            <w:gridSpan w:val="4"/>
          </w:tcPr>
          <w:p w14:paraId="110641A5" w14:textId="77777777" w:rsidR="005C4B54" w:rsidRDefault="005C4B54">
            <w:pPr>
              <w:rPr>
                <w:b/>
              </w:rPr>
            </w:pPr>
            <w:r>
              <w:rPr>
                <w:b/>
              </w:rPr>
              <w:t>Objective:</w:t>
            </w:r>
          </w:p>
        </w:tc>
      </w:tr>
      <w:tr w:rsidR="005C4B54" w14:paraId="65E451BD" w14:textId="77777777">
        <w:tc>
          <w:tcPr>
            <w:tcW w:w="1250" w:type="pct"/>
          </w:tcPr>
          <w:p w14:paraId="0230CC62" w14:textId="77777777" w:rsidR="005C4B54" w:rsidRDefault="005C4B54">
            <w:pPr>
              <w:rPr>
                <w:b/>
              </w:rPr>
            </w:pPr>
            <w:r>
              <w:rPr>
                <w:b/>
              </w:rPr>
              <w:t>Activities</w:t>
            </w:r>
          </w:p>
        </w:tc>
        <w:tc>
          <w:tcPr>
            <w:tcW w:w="1250" w:type="pct"/>
          </w:tcPr>
          <w:p w14:paraId="251D6E38" w14:textId="77777777" w:rsidR="005C4B54" w:rsidRDefault="005C4B54">
            <w:pPr>
              <w:rPr>
                <w:b/>
              </w:rPr>
            </w:pPr>
            <w:r>
              <w:rPr>
                <w:b/>
              </w:rPr>
              <w:t>Outcomes</w:t>
            </w:r>
          </w:p>
        </w:tc>
        <w:tc>
          <w:tcPr>
            <w:tcW w:w="1250" w:type="pct"/>
          </w:tcPr>
          <w:p w14:paraId="751A3109" w14:textId="77777777" w:rsidR="005C4B54" w:rsidRDefault="005C4B54">
            <w:pPr>
              <w:rPr>
                <w:b/>
              </w:rPr>
            </w:pPr>
            <w:r>
              <w:rPr>
                <w:b/>
              </w:rPr>
              <w:t>Timeline</w:t>
            </w:r>
          </w:p>
        </w:tc>
        <w:tc>
          <w:tcPr>
            <w:tcW w:w="1250" w:type="pct"/>
          </w:tcPr>
          <w:p w14:paraId="08D81D2F" w14:textId="77777777" w:rsidR="005C4B54" w:rsidRDefault="005C4B54">
            <w:pPr>
              <w:rPr>
                <w:b/>
              </w:rPr>
            </w:pPr>
            <w:r>
              <w:rPr>
                <w:b/>
              </w:rPr>
              <w:t>Responsible Person(s)</w:t>
            </w:r>
          </w:p>
        </w:tc>
      </w:tr>
      <w:tr w:rsidR="005C4B54" w14:paraId="4DDC5040" w14:textId="77777777">
        <w:tc>
          <w:tcPr>
            <w:tcW w:w="1250" w:type="pct"/>
          </w:tcPr>
          <w:p w14:paraId="0320AC4F" w14:textId="77777777" w:rsidR="005C4B54" w:rsidRDefault="005C4B54">
            <w:pPr>
              <w:rPr>
                <w:b/>
              </w:rPr>
            </w:pPr>
          </w:p>
          <w:p w14:paraId="177F14B7" w14:textId="77777777" w:rsidR="005C4B54" w:rsidRDefault="005C4B54">
            <w:pPr>
              <w:rPr>
                <w:b/>
              </w:rPr>
            </w:pPr>
          </w:p>
          <w:p w14:paraId="014A64F0" w14:textId="77777777" w:rsidR="005C4B54" w:rsidRDefault="005C4B54">
            <w:pPr>
              <w:rPr>
                <w:b/>
              </w:rPr>
            </w:pPr>
          </w:p>
          <w:p w14:paraId="1E0EF500" w14:textId="77777777" w:rsidR="005C4B54" w:rsidRDefault="005C4B54">
            <w:pPr>
              <w:rPr>
                <w:b/>
              </w:rPr>
            </w:pPr>
          </w:p>
          <w:p w14:paraId="3ED9C21D" w14:textId="77777777" w:rsidR="005C4B54" w:rsidRDefault="005C4B54">
            <w:pPr>
              <w:rPr>
                <w:b/>
              </w:rPr>
            </w:pPr>
          </w:p>
          <w:p w14:paraId="42F8B1F5" w14:textId="77777777" w:rsidR="005C4B54" w:rsidRDefault="005C4B54">
            <w:pPr>
              <w:rPr>
                <w:b/>
              </w:rPr>
            </w:pPr>
          </w:p>
          <w:p w14:paraId="59CFD6E0" w14:textId="77777777" w:rsidR="005C4B54" w:rsidRDefault="005C4B54">
            <w:pPr>
              <w:rPr>
                <w:b/>
              </w:rPr>
            </w:pPr>
          </w:p>
          <w:p w14:paraId="1573252C" w14:textId="77777777" w:rsidR="005C4B54" w:rsidRDefault="005C4B54">
            <w:pPr>
              <w:rPr>
                <w:b/>
              </w:rPr>
            </w:pPr>
          </w:p>
          <w:p w14:paraId="7D65BBA2" w14:textId="77777777" w:rsidR="005C4B54" w:rsidRDefault="005C4B54">
            <w:pPr>
              <w:rPr>
                <w:b/>
              </w:rPr>
            </w:pPr>
          </w:p>
          <w:p w14:paraId="42DC2DF6" w14:textId="77777777" w:rsidR="005C4B54" w:rsidRDefault="005C4B54">
            <w:pPr>
              <w:rPr>
                <w:b/>
              </w:rPr>
            </w:pPr>
          </w:p>
          <w:p w14:paraId="13DC16CE" w14:textId="77777777" w:rsidR="005C4B54" w:rsidRDefault="005C4B54">
            <w:pPr>
              <w:rPr>
                <w:b/>
              </w:rPr>
            </w:pPr>
          </w:p>
          <w:p w14:paraId="7D63878B" w14:textId="77777777" w:rsidR="00AB6601" w:rsidRDefault="00AB6601">
            <w:pPr>
              <w:rPr>
                <w:b/>
              </w:rPr>
            </w:pPr>
          </w:p>
          <w:p w14:paraId="6E53CDDD" w14:textId="77777777" w:rsidR="00AB6601" w:rsidRDefault="00AB6601">
            <w:pPr>
              <w:rPr>
                <w:b/>
              </w:rPr>
            </w:pPr>
          </w:p>
          <w:p w14:paraId="200D868E" w14:textId="77777777" w:rsidR="00AB6601" w:rsidRDefault="00AB6601">
            <w:pPr>
              <w:rPr>
                <w:b/>
              </w:rPr>
            </w:pPr>
          </w:p>
          <w:p w14:paraId="41EFC563" w14:textId="77777777" w:rsidR="00AB6601" w:rsidRDefault="00AB6601">
            <w:pPr>
              <w:rPr>
                <w:b/>
              </w:rPr>
            </w:pPr>
          </w:p>
          <w:p w14:paraId="26742B9A" w14:textId="77777777" w:rsidR="00AB6601" w:rsidRDefault="00AB6601">
            <w:pPr>
              <w:rPr>
                <w:b/>
              </w:rPr>
            </w:pPr>
          </w:p>
          <w:p w14:paraId="51B9751B" w14:textId="77777777" w:rsidR="00AB6601" w:rsidRDefault="00AB6601">
            <w:pPr>
              <w:rPr>
                <w:b/>
              </w:rPr>
            </w:pPr>
          </w:p>
          <w:p w14:paraId="52CE758F" w14:textId="77777777" w:rsidR="00AB6601" w:rsidRDefault="00AB6601">
            <w:pPr>
              <w:rPr>
                <w:b/>
              </w:rPr>
            </w:pPr>
          </w:p>
          <w:p w14:paraId="5580C63D" w14:textId="77777777" w:rsidR="00AB6601" w:rsidRDefault="00AB6601">
            <w:pPr>
              <w:rPr>
                <w:b/>
              </w:rPr>
            </w:pPr>
          </w:p>
          <w:p w14:paraId="48420374" w14:textId="77777777" w:rsidR="00AB6601" w:rsidRDefault="00AB6601">
            <w:pPr>
              <w:rPr>
                <w:b/>
              </w:rPr>
            </w:pPr>
          </w:p>
          <w:p w14:paraId="278B4532" w14:textId="77777777" w:rsidR="00AB6601" w:rsidRDefault="00AB6601">
            <w:pPr>
              <w:rPr>
                <w:b/>
              </w:rPr>
            </w:pPr>
          </w:p>
          <w:p w14:paraId="24EA50A7" w14:textId="77777777" w:rsidR="00AB6601" w:rsidRDefault="00AB6601">
            <w:pPr>
              <w:rPr>
                <w:b/>
              </w:rPr>
            </w:pPr>
          </w:p>
          <w:p w14:paraId="4C24E711" w14:textId="77777777" w:rsidR="00AB6601" w:rsidRDefault="00AB6601">
            <w:pPr>
              <w:rPr>
                <w:b/>
              </w:rPr>
            </w:pPr>
          </w:p>
          <w:p w14:paraId="3EC14D32" w14:textId="77777777" w:rsidR="00AB6601" w:rsidRDefault="00AB6601">
            <w:pPr>
              <w:rPr>
                <w:b/>
              </w:rPr>
            </w:pPr>
          </w:p>
          <w:p w14:paraId="18BB3EB9" w14:textId="77777777" w:rsidR="00AB6601" w:rsidRDefault="00AB6601">
            <w:pPr>
              <w:rPr>
                <w:b/>
              </w:rPr>
            </w:pPr>
          </w:p>
          <w:p w14:paraId="62620497" w14:textId="77777777" w:rsidR="005C4B54" w:rsidRDefault="005C4B54">
            <w:pPr>
              <w:rPr>
                <w:b/>
              </w:rPr>
            </w:pPr>
          </w:p>
          <w:p w14:paraId="6556F656" w14:textId="77777777" w:rsidR="005C4B54" w:rsidRDefault="005C4B54">
            <w:pPr>
              <w:rPr>
                <w:b/>
              </w:rPr>
            </w:pPr>
          </w:p>
        </w:tc>
        <w:tc>
          <w:tcPr>
            <w:tcW w:w="1250" w:type="pct"/>
          </w:tcPr>
          <w:p w14:paraId="54352725" w14:textId="77777777" w:rsidR="005C4B54" w:rsidRDefault="005C4B54">
            <w:pPr>
              <w:rPr>
                <w:b/>
              </w:rPr>
            </w:pPr>
          </w:p>
        </w:tc>
        <w:tc>
          <w:tcPr>
            <w:tcW w:w="1250" w:type="pct"/>
          </w:tcPr>
          <w:p w14:paraId="162B917B" w14:textId="77777777" w:rsidR="005C4B54" w:rsidRDefault="005C4B54">
            <w:pPr>
              <w:rPr>
                <w:b/>
              </w:rPr>
            </w:pPr>
          </w:p>
          <w:p w14:paraId="2078E9C3" w14:textId="77777777" w:rsidR="00AB6601" w:rsidRDefault="00AB6601">
            <w:pPr>
              <w:rPr>
                <w:b/>
              </w:rPr>
            </w:pPr>
          </w:p>
        </w:tc>
        <w:tc>
          <w:tcPr>
            <w:tcW w:w="1250" w:type="pct"/>
          </w:tcPr>
          <w:p w14:paraId="59AC9BA8" w14:textId="77777777" w:rsidR="005C4B54" w:rsidRDefault="005C4B54">
            <w:pPr>
              <w:rPr>
                <w:b/>
              </w:rPr>
            </w:pPr>
          </w:p>
        </w:tc>
      </w:tr>
    </w:tbl>
    <w:p w14:paraId="17FF8763" w14:textId="77777777" w:rsidR="00BF12FB" w:rsidRDefault="00BF12FB" w:rsidP="000B53BC">
      <w:pPr>
        <w:spacing w:after="0"/>
        <w:rPr>
          <w:b/>
        </w:rPr>
        <w:sectPr w:rsidR="00BF12FB">
          <w:pgSz w:w="15840" w:h="12240" w:orient="landscape"/>
          <w:pgMar w:top="1440" w:right="1440" w:bottom="1440" w:left="1440" w:header="720" w:footer="720" w:gutter="0"/>
          <w:cols w:space="720"/>
          <w:docGrid w:linePitch="360"/>
        </w:sectPr>
      </w:pPr>
    </w:p>
    <w:p w14:paraId="4202A1C0" w14:textId="1F6A7C2A" w:rsidR="00BF12FB" w:rsidRPr="00E20B00" w:rsidRDefault="00BF12FB" w:rsidP="00E20B00">
      <w:pPr>
        <w:pStyle w:val="Heading1"/>
        <w:rPr>
          <w:sz w:val="28"/>
        </w:rPr>
      </w:pPr>
      <w:bookmarkStart w:id="20" w:name="_Toc434571653"/>
      <w:r w:rsidRPr="00BF12FB">
        <w:lastRenderedPageBreak/>
        <w:t>Frequently Asked Questions (FAQs)</w:t>
      </w:r>
      <w:bookmarkEnd w:id="20"/>
      <w:r>
        <w:rPr>
          <w:sz w:val="28"/>
        </w:rPr>
        <w:t xml:space="preserve"> </w:t>
      </w:r>
    </w:p>
    <w:p w14:paraId="08039E79" w14:textId="532A18E5" w:rsidR="00BF12FB" w:rsidRPr="00E20B00" w:rsidRDefault="00BF12FB" w:rsidP="00E20B00">
      <w:pPr>
        <w:pStyle w:val="Heading2"/>
      </w:pPr>
      <w:bookmarkStart w:id="21" w:name="_Toc434571654"/>
      <w:r w:rsidRPr="004418B2">
        <w:t>E</w:t>
      </w:r>
      <w:r w:rsidR="00B21B02">
        <w:t>ligibility</w:t>
      </w:r>
      <w:bookmarkEnd w:id="21"/>
    </w:p>
    <w:p w14:paraId="0DE34F84" w14:textId="77777777" w:rsidR="00BF12FB" w:rsidRPr="00CB29EE" w:rsidRDefault="00BF12FB" w:rsidP="00BF12FB">
      <w:pPr>
        <w:spacing w:after="0" w:line="240" w:lineRule="auto"/>
        <w:rPr>
          <w:b/>
        </w:rPr>
      </w:pPr>
      <w:r w:rsidRPr="00CB29EE">
        <w:rPr>
          <w:b/>
        </w:rPr>
        <w:t>Can private non</w:t>
      </w:r>
      <w:r>
        <w:rPr>
          <w:b/>
        </w:rPr>
        <w:t>-</w:t>
      </w:r>
      <w:r w:rsidRPr="00CB29EE">
        <w:rPr>
          <w:b/>
        </w:rPr>
        <w:t>profit colleges apply?</w:t>
      </w:r>
    </w:p>
    <w:p w14:paraId="646E4056" w14:textId="77777777" w:rsidR="00BF12FB" w:rsidRDefault="00BF12FB" w:rsidP="00BF12FB">
      <w:pPr>
        <w:spacing w:after="0" w:line="240" w:lineRule="auto"/>
        <w:ind w:left="720"/>
      </w:pPr>
      <w:r>
        <w:t>Private non-profit colleges may apply</w:t>
      </w:r>
      <w:r w:rsidR="00B21B02">
        <w:t xml:space="preserve">. Costs that will be borne by students and not covered by the applicant, such as tuition, must be described in the budget narrative. Tuition can be donated but in-kind donations such as tuition that exceed </w:t>
      </w:r>
      <w:r w:rsidR="00A20B4C">
        <w:t>one-third</w:t>
      </w:r>
      <w:r w:rsidR="00B21B02">
        <w:t xml:space="preserve"> of the total </w:t>
      </w:r>
      <w:r w:rsidR="00700239">
        <w:t xml:space="preserve">public </w:t>
      </w:r>
      <w:r w:rsidR="00B21B02">
        <w:t>match will not be given weight in the selection process.</w:t>
      </w:r>
    </w:p>
    <w:p w14:paraId="74A704B9" w14:textId="77777777" w:rsidR="00BF12FB" w:rsidRDefault="00BF12FB" w:rsidP="00BF12FB">
      <w:pPr>
        <w:spacing w:after="0" w:line="240" w:lineRule="auto"/>
        <w:rPr>
          <w:b/>
        </w:rPr>
      </w:pPr>
    </w:p>
    <w:p w14:paraId="466D131C" w14:textId="77777777" w:rsidR="00BF12FB" w:rsidRPr="00CB29EE" w:rsidRDefault="00BF12FB" w:rsidP="00BF12FB">
      <w:pPr>
        <w:spacing w:after="0" w:line="240" w:lineRule="auto"/>
        <w:rPr>
          <w:b/>
        </w:rPr>
      </w:pPr>
      <w:r w:rsidRPr="00CB29EE">
        <w:rPr>
          <w:b/>
        </w:rPr>
        <w:t>Can private for-profit colleges apply?</w:t>
      </w:r>
    </w:p>
    <w:p w14:paraId="6182F435" w14:textId="77777777" w:rsidR="00BF12FB" w:rsidRDefault="00BF12FB" w:rsidP="00BF12FB">
      <w:pPr>
        <w:spacing w:after="0" w:line="240" w:lineRule="auto"/>
        <w:ind w:left="720"/>
      </w:pPr>
      <w:r>
        <w:t>No, for-profit colleges cannot apply.</w:t>
      </w:r>
    </w:p>
    <w:p w14:paraId="77DF89B0" w14:textId="77777777" w:rsidR="00BF12FB" w:rsidRDefault="00BF12FB" w:rsidP="00BF12FB">
      <w:pPr>
        <w:spacing w:after="0" w:line="240" w:lineRule="auto"/>
        <w:rPr>
          <w:b/>
        </w:rPr>
      </w:pPr>
    </w:p>
    <w:p w14:paraId="55B22F7B" w14:textId="77777777" w:rsidR="0039479E" w:rsidRPr="004528B3" w:rsidRDefault="00125225" w:rsidP="00BF12FB">
      <w:pPr>
        <w:spacing w:after="0" w:line="240" w:lineRule="auto"/>
        <w:rPr>
          <w:rFonts w:eastAsia="Times New Roman" w:cs="Times New Roman"/>
          <w:b/>
        </w:rPr>
      </w:pPr>
      <w:r w:rsidRPr="004528B3">
        <w:rPr>
          <w:b/>
        </w:rPr>
        <w:t xml:space="preserve">Can multiple </w:t>
      </w:r>
      <w:r w:rsidR="0039479E" w:rsidRPr="004528B3">
        <w:rPr>
          <w:rFonts w:eastAsia="Times New Roman" w:cs="Times New Roman"/>
          <w:b/>
        </w:rPr>
        <w:t>education institutions</w:t>
      </w:r>
      <w:r w:rsidR="00A95367" w:rsidRPr="004528B3">
        <w:rPr>
          <w:rFonts w:eastAsia="Times New Roman" w:cs="Times New Roman"/>
          <w:b/>
        </w:rPr>
        <w:t xml:space="preserve"> jointly</w:t>
      </w:r>
      <w:r w:rsidR="0039479E" w:rsidRPr="004528B3">
        <w:rPr>
          <w:rFonts w:eastAsia="Times New Roman" w:cs="Times New Roman"/>
          <w:b/>
        </w:rPr>
        <w:t xml:space="preserve"> </w:t>
      </w:r>
      <w:r w:rsidR="00A95367" w:rsidRPr="004528B3">
        <w:rPr>
          <w:rFonts w:eastAsia="Times New Roman" w:cs="Times New Roman"/>
          <w:b/>
        </w:rPr>
        <w:t>submit an application</w:t>
      </w:r>
      <w:r w:rsidR="0039479E" w:rsidRPr="004528B3">
        <w:rPr>
          <w:rFonts w:eastAsia="Times New Roman" w:cs="Times New Roman"/>
          <w:b/>
        </w:rPr>
        <w:t>?</w:t>
      </w:r>
    </w:p>
    <w:p w14:paraId="2FD455FB" w14:textId="77777777" w:rsidR="00C0497A" w:rsidRDefault="0039479E">
      <w:pPr>
        <w:spacing w:after="0" w:line="240" w:lineRule="auto"/>
        <w:ind w:left="720"/>
        <w:rPr>
          <w:b/>
        </w:rPr>
      </w:pPr>
      <w:r>
        <w:rPr>
          <w:rFonts w:eastAsia="Times New Roman" w:cs="Times New Roman"/>
        </w:rPr>
        <w:t xml:space="preserve">Yes, multiple education institutions can apply together but one institution should be identified and serve as the lead applicant for all communication and accountability purposes. Also, the proposal should clearly delineate specific roles </w:t>
      </w:r>
      <w:r w:rsidR="00A95367">
        <w:rPr>
          <w:rFonts w:eastAsia="Times New Roman" w:cs="Times New Roman"/>
        </w:rPr>
        <w:t xml:space="preserve">and responsibilities </w:t>
      </w:r>
      <w:r>
        <w:rPr>
          <w:rFonts w:eastAsia="Times New Roman" w:cs="Times New Roman"/>
        </w:rPr>
        <w:t>of each partner institution.</w:t>
      </w:r>
    </w:p>
    <w:p w14:paraId="7FF33EEB" w14:textId="77777777" w:rsidR="0039479E" w:rsidRDefault="0039479E" w:rsidP="00BF12FB">
      <w:pPr>
        <w:spacing w:after="0" w:line="240" w:lineRule="auto"/>
        <w:rPr>
          <w:b/>
        </w:rPr>
      </w:pPr>
    </w:p>
    <w:p w14:paraId="31C1BB2D" w14:textId="77777777" w:rsidR="00BF12FB" w:rsidRDefault="0039479E" w:rsidP="00BF12FB">
      <w:pPr>
        <w:spacing w:after="0" w:line="240" w:lineRule="auto"/>
        <w:rPr>
          <w:b/>
        </w:rPr>
      </w:pPr>
      <w:r>
        <w:rPr>
          <w:b/>
        </w:rPr>
        <w:t>C</w:t>
      </w:r>
      <w:r w:rsidR="00BF12FB">
        <w:rPr>
          <w:b/>
        </w:rPr>
        <w:t>an organizations other than institutions of higher education apply?</w:t>
      </w:r>
    </w:p>
    <w:p w14:paraId="70368649" w14:textId="77777777" w:rsidR="00BF12FB" w:rsidRPr="005E08DF" w:rsidRDefault="00BF12FB" w:rsidP="00BF12FB">
      <w:pPr>
        <w:spacing w:after="0" w:line="240" w:lineRule="auto"/>
        <w:ind w:left="720"/>
      </w:pPr>
      <w:r>
        <w:t xml:space="preserve">Yes, organizations with 501(c)(3) status are eligible to apply. These organizations must </w:t>
      </w:r>
      <w:r w:rsidR="00B21B02">
        <w:t xml:space="preserve">partner with an accredited institution of higher education and must </w:t>
      </w:r>
      <w:r>
        <w:t xml:space="preserve">be </w:t>
      </w:r>
      <w:r w:rsidR="00C23A0E">
        <w:t xml:space="preserve">primarily </w:t>
      </w:r>
      <w:r>
        <w:t>dedicated to providing college education to currently or formerly incarcerated students</w:t>
      </w:r>
      <w:r w:rsidR="00B21B02">
        <w:t xml:space="preserve">. </w:t>
      </w:r>
    </w:p>
    <w:p w14:paraId="76CA8FA9" w14:textId="77777777" w:rsidR="00BF12FB" w:rsidRDefault="00BF12FB" w:rsidP="00BF12FB">
      <w:pPr>
        <w:spacing w:after="0" w:line="240" w:lineRule="auto"/>
        <w:rPr>
          <w:b/>
        </w:rPr>
      </w:pPr>
    </w:p>
    <w:p w14:paraId="53F62B06" w14:textId="77777777" w:rsidR="00BF12FB" w:rsidRDefault="00BF12FB" w:rsidP="00BF12FB">
      <w:pPr>
        <w:spacing w:after="0" w:line="240" w:lineRule="auto"/>
        <w:rPr>
          <w:b/>
        </w:rPr>
      </w:pPr>
      <w:r>
        <w:rPr>
          <w:b/>
        </w:rPr>
        <w:t>Who do you mean by “currently incarcerated” students?</w:t>
      </w:r>
    </w:p>
    <w:p w14:paraId="25DD5CEC" w14:textId="77777777" w:rsidR="00BF12FB" w:rsidRPr="004418B2" w:rsidRDefault="00BF12FB" w:rsidP="00BF12FB">
      <w:pPr>
        <w:spacing w:after="0" w:line="240" w:lineRule="auto"/>
        <w:ind w:left="720"/>
      </w:pPr>
      <w:r>
        <w:t xml:space="preserve">For the purposes of this RFP, “currently incarcerated” students </w:t>
      </w:r>
      <w:proofErr w:type="gramStart"/>
      <w:r>
        <w:t>includes</w:t>
      </w:r>
      <w:proofErr w:type="gramEnd"/>
      <w:r>
        <w:t xml:space="preserve"> adults incarcerated in state, federal, or county correctional facilities in California. It does not include individuals incarcerated in juvenile facilities. </w:t>
      </w:r>
    </w:p>
    <w:p w14:paraId="3842981C" w14:textId="77777777" w:rsidR="00BF12FB" w:rsidRDefault="00BF12FB" w:rsidP="00BF12FB">
      <w:pPr>
        <w:spacing w:after="0" w:line="240" w:lineRule="auto"/>
        <w:rPr>
          <w:b/>
        </w:rPr>
      </w:pPr>
    </w:p>
    <w:p w14:paraId="6DD243DC" w14:textId="77777777" w:rsidR="00BF12FB" w:rsidRPr="00FE2C2F" w:rsidRDefault="00BF12FB" w:rsidP="00BF12FB">
      <w:pPr>
        <w:spacing w:after="0" w:line="240" w:lineRule="auto"/>
        <w:rPr>
          <w:b/>
        </w:rPr>
      </w:pPr>
      <w:r>
        <w:rPr>
          <w:b/>
        </w:rPr>
        <w:t>Who do you mean by “formerly incarcerated” students?</w:t>
      </w:r>
    </w:p>
    <w:p w14:paraId="36823905" w14:textId="77777777" w:rsidR="00BF12FB" w:rsidRDefault="00BF12FB" w:rsidP="00BF12FB">
      <w:pPr>
        <w:spacing w:after="0" w:line="240" w:lineRule="auto"/>
        <w:ind w:left="720"/>
      </w:pPr>
      <w:r>
        <w:t>For the purposes of this RFP, “formerly incarcerated” students includes anyone who is currently being supervised by adult probation or parole or who has a prior conviction record. For example, students who have served only a probation term may be considered “formerly incarcerated.” However, students who have an arrest record but do not have a prior conviction record will not be considered “formerly incarcerated” for purposes of this RFP.</w:t>
      </w:r>
    </w:p>
    <w:p w14:paraId="3CD25673" w14:textId="77777777" w:rsidR="00BF12FB" w:rsidRDefault="00BF12FB" w:rsidP="00BF12FB">
      <w:pPr>
        <w:spacing w:after="0" w:line="240" w:lineRule="auto"/>
        <w:rPr>
          <w:b/>
        </w:rPr>
      </w:pPr>
    </w:p>
    <w:p w14:paraId="6C4B4740" w14:textId="77777777" w:rsidR="00BF12FB" w:rsidRPr="00FE2C2F" w:rsidRDefault="00BF12FB" w:rsidP="00BF12FB">
      <w:pPr>
        <w:spacing w:after="0" w:line="240" w:lineRule="auto"/>
        <w:rPr>
          <w:b/>
        </w:rPr>
      </w:pPr>
      <w:r w:rsidRPr="00FE2C2F">
        <w:rPr>
          <w:b/>
        </w:rPr>
        <w:t>What is included in the category of “higher education”</w:t>
      </w:r>
      <w:r>
        <w:rPr>
          <w:b/>
        </w:rPr>
        <w:t xml:space="preserve"> programs</w:t>
      </w:r>
      <w:r w:rsidRPr="00FE2C2F">
        <w:rPr>
          <w:b/>
        </w:rPr>
        <w:t>?</w:t>
      </w:r>
    </w:p>
    <w:p w14:paraId="1EF95B69" w14:textId="77777777" w:rsidR="00BF12FB" w:rsidRPr="00942D92" w:rsidRDefault="00BF12FB" w:rsidP="00BF12FB">
      <w:pPr>
        <w:spacing w:after="0" w:line="240" w:lineRule="auto"/>
        <w:ind w:left="720"/>
      </w:pPr>
      <w:r>
        <w:t>Eligible higher education programs include credit-bearing academic programs and may also include certain career technical education (CTE) programs. Proposals for CTE programs</w:t>
      </w:r>
      <w:r w:rsidRPr="007F38DF">
        <w:t xml:space="preserve"> must provide evidence that the proposed program contributes to a viable career pathway for their students</w:t>
      </w:r>
      <w:r w:rsidR="00B21B02">
        <w:t>.</w:t>
      </w:r>
      <w:r w:rsidR="00B21B02">
        <w:rPr>
          <w:rFonts w:eastAsia="Times New Roman" w:cs="Times New Roman"/>
        </w:rPr>
        <w:t xml:space="preserve"> As a general rule, programs that offer isolated career training or CTE certificates, without stackable credentials or demonstrated opportunities for greater educational achievement, will not be funded. </w:t>
      </w:r>
    </w:p>
    <w:p w14:paraId="5F349A0B" w14:textId="77777777" w:rsidR="00BF12FB" w:rsidRDefault="00BF12FB" w:rsidP="00BF12FB">
      <w:pPr>
        <w:spacing w:after="0" w:line="240" w:lineRule="auto"/>
        <w:rPr>
          <w:b/>
        </w:rPr>
      </w:pPr>
    </w:p>
    <w:p w14:paraId="00067C1B" w14:textId="77777777" w:rsidR="00BF12FB" w:rsidRPr="00005392" w:rsidRDefault="00BF12FB" w:rsidP="00BF12FB">
      <w:pPr>
        <w:spacing w:after="0" w:line="240" w:lineRule="auto"/>
        <w:rPr>
          <w:b/>
        </w:rPr>
      </w:pPr>
      <w:r w:rsidRPr="00005392">
        <w:rPr>
          <w:b/>
        </w:rPr>
        <w:lastRenderedPageBreak/>
        <w:t xml:space="preserve">Do </w:t>
      </w:r>
      <w:r>
        <w:rPr>
          <w:b/>
        </w:rPr>
        <w:t>proposed programs</w:t>
      </w:r>
      <w:r w:rsidRPr="00005392">
        <w:rPr>
          <w:b/>
        </w:rPr>
        <w:t xml:space="preserve"> have to </w:t>
      </w:r>
      <w:r>
        <w:rPr>
          <w:b/>
        </w:rPr>
        <w:t xml:space="preserve">focus </w:t>
      </w:r>
      <w:r w:rsidRPr="00005392">
        <w:rPr>
          <w:b/>
        </w:rPr>
        <w:t>exclusively on currently and/or formerly incarcerated populations?</w:t>
      </w:r>
    </w:p>
    <w:p w14:paraId="13D3BEB3" w14:textId="77777777" w:rsidR="00BF12FB" w:rsidRDefault="00BF12FB" w:rsidP="00BF12FB">
      <w:pPr>
        <w:spacing w:after="0" w:line="240" w:lineRule="auto"/>
        <w:ind w:left="720"/>
      </w:pPr>
      <w:r>
        <w:t xml:space="preserve">Proposed programs under this RFP must serve exclusively currently and/or formerly incarcerated students. Funding will only be awarded for program components serving exclusively this population of students. However, these proposed programs may be part of a larger initiative at the college, university, or community-based organization that serves a </w:t>
      </w:r>
      <w:r w:rsidR="00B21B02">
        <w:t>b</w:t>
      </w:r>
      <w:r>
        <w:t>roader range of students.</w:t>
      </w:r>
    </w:p>
    <w:p w14:paraId="3D4796EC" w14:textId="77777777" w:rsidR="00B21B02" w:rsidRDefault="00B21B02" w:rsidP="00BF12FB">
      <w:pPr>
        <w:spacing w:after="0" w:line="240" w:lineRule="auto"/>
        <w:ind w:left="720"/>
      </w:pPr>
    </w:p>
    <w:p w14:paraId="7E759E36" w14:textId="77777777" w:rsidR="00B21B02" w:rsidRDefault="00B21B02" w:rsidP="00B71A34">
      <w:pPr>
        <w:spacing w:after="0" w:line="240" w:lineRule="auto"/>
      </w:pPr>
      <w:r>
        <w:rPr>
          <w:b/>
        </w:rPr>
        <w:t>Can existing programs apply?</w:t>
      </w:r>
    </w:p>
    <w:p w14:paraId="01437A60" w14:textId="77777777" w:rsidR="00842DDD" w:rsidRDefault="00B21B02" w:rsidP="00B21B02">
      <w:pPr>
        <w:spacing w:after="0" w:line="240" w:lineRule="auto"/>
        <w:ind w:left="720"/>
      </w:pPr>
      <w:r>
        <w:t xml:space="preserve">Existing programs can apply but the application must be limited to the expenses necessary to enhance their current offerings or add capacity. </w:t>
      </w:r>
    </w:p>
    <w:p w14:paraId="14BA78FD" w14:textId="77777777" w:rsidR="00842DDD" w:rsidRDefault="00842DDD" w:rsidP="00842DDD">
      <w:pPr>
        <w:spacing w:after="0" w:line="240" w:lineRule="auto"/>
      </w:pPr>
    </w:p>
    <w:p w14:paraId="50C039A8" w14:textId="77777777" w:rsidR="00842DDD" w:rsidRDefault="00842DDD" w:rsidP="00842DDD">
      <w:pPr>
        <w:spacing w:after="0" w:line="240" w:lineRule="auto"/>
      </w:pPr>
      <w:r>
        <w:rPr>
          <w:b/>
        </w:rPr>
        <w:t>Can a community college propose a program outside its district</w:t>
      </w:r>
      <w:r w:rsidR="00700239">
        <w:rPr>
          <w:b/>
        </w:rPr>
        <w:t xml:space="preserve"> boundary</w:t>
      </w:r>
      <w:r>
        <w:rPr>
          <w:b/>
        </w:rPr>
        <w:t>?</w:t>
      </w:r>
    </w:p>
    <w:p w14:paraId="7970CCC3" w14:textId="77777777" w:rsidR="00842DDD" w:rsidRDefault="00842DDD" w:rsidP="00842DDD">
      <w:pPr>
        <w:spacing w:after="0" w:line="240" w:lineRule="auto"/>
        <w:ind w:left="720"/>
      </w:pPr>
      <w:r>
        <w:t xml:space="preserve">Yes. However, a MOU </w:t>
      </w:r>
      <w:r w:rsidR="00700239">
        <w:t xml:space="preserve">between the </w:t>
      </w:r>
      <w:r w:rsidR="00C23A0E">
        <w:t xml:space="preserve">applicant </w:t>
      </w:r>
      <w:r w:rsidR="00700239">
        <w:t>college and the host district should be included with the application</w:t>
      </w:r>
      <w:r w:rsidR="00C23A0E">
        <w:t>. If an MOU cannot be obtained,</w:t>
      </w:r>
      <w:r>
        <w:t xml:space="preserve"> a letter from the host district </w:t>
      </w:r>
      <w:r w:rsidR="00C23A0E">
        <w:t>should accompany the application</w:t>
      </w:r>
      <w:r>
        <w:t xml:space="preserve">. If a letter is submitted, it should outline the contours of the agreement between the districts and include a timeline for the completed MOU. </w:t>
      </w:r>
    </w:p>
    <w:p w14:paraId="776C5E8E" w14:textId="77777777" w:rsidR="00BF12FB" w:rsidRPr="00B71A34" w:rsidRDefault="00BF12FB" w:rsidP="00BF12FB">
      <w:pPr>
        <w:keepNext/>
        <w:spacing w:after="0" w:line="240" w:lineRule="auto"/>
        <w:rPr>
          <w:sz w:val="26"/>
          <w:szCs w:val="26"/>
        </w:rPr>
      </w:pPr>
    </w:p>
    <w:p w14:paraId="13746865" w14:textId="77777777" w:rsidR="00BF12FB" w:rsidRPr="004418B2" w:rsidRDefault="00BF12FB" w:rsidP="00BF12FB">
      <w:pPr>
        <w:pStyle w:val="Heading2"/>
        <w:rPr>
          <w:u w:val="single"/>
        </w:rPr>
      </w:pPr>
      <w:bookmarkStart w:id="22" w:name="_Toc434571655"/>
      <w:r w:rsidRPr="004418B2">
        <w:t>P</w:t>
      </w:r>
      <w:r w:rsidR="00B21B02">
        <w:t>roject Scope and Requirements</w:t>
      </w:r>
      <w:bookmarkEnd w:id="22"/>
    </w:p>
    <w:p w14:paraId="73D5B970" w14:textId="77777777" w:rsidR="00BF12FB" w:rsidRDefault="00BF12FB" w:rsidP="00BF12FB">
      <w:pPr>
        <w:keepNext/>
        <w:spacing w:after="0" w:line="240" w:lineRule="auto"/>
        <w:rPr>
          <w:b/>
        </w:rPr>
      </w:pPr>
    </w:p>
    <w:p w14:paraId="6937FA37" w14:textId="77777777" w:rsidR="00BF12FB" w:rsidRPr="00CC6187" w:rsidRDefault="00BF12FB" w:rsidP="00BF12FB">
      <w:pPr>
        <w:keepNext/>
        <w:spacing w:after="0" w:line="240" w:lineRule="auto"/>
        <w:rPr>
          <w:b/>
        </w:rPr>
      </w:pPr>
      <w:r w:rsidRPr="00CC6187">
        <w:rPr>
          <w:b/>
        </w:rPr>
        <w:t xml:space="preserve">Do </w:t>
      </w:r>
      <w:r>
        <w:rPr>
          <w:b/>
        </w:rPr>
        <w:t>all</w:t>
      </w:r>
      <w:r w:rsidRPr="00CC6187">
        <w:rPr>
          <w:b/>
        </w:rPr>
        <w:t xml:space="preserve"> courses </w:t>
      </w:r>
      <w:r>
        <w:rPr>
          <w:b/>
        </w:rPr>
        <w:t xml:space="preserve">offered </w:t>
      </w:r>
      <w:r w:rsidRPr="00CC6187">
        <w:rPr>
          <w:b/>
        </w:rPr>
        <w:t>have to be transferable?</w:t>
      </w:r>
    </w:p>
    <w:p w14:paraId="23870BFD" w14:textId="77777777" w:rsidR="00BF12FB" w:rsidRDefault="00BF12FB" w:rsidP="00BF12FB">
      <w:pPr>
        <w:spacing w:after="0" w:line="240" w:lineRule="auto"/>
        <w:ind w:left="720"/>
      </w:pPr>
      <w:r>
        <w:t>Transferability of courses should be a priority for a high-quality program.</w:t>
      </w:r>
    </w:p>
    <w:p w14:paraId="0EE3B3FE" w14:textId="77777777" w:rsidR="00BF12FB" w:rsidRDefault="00BF12FB" w:rsidP="00BF12FB">
      <w:pPr>
        <w:spacing w:after="0" w:line="240" w:lineRule="auto"/>
        <w:ind w:left="720"/>
      </w:pPr>
    </w:p>
    <w:p w14:paraId="507CCAE6" w14:textId="77777777" w:rsidR="00BF12FB" w:rsidRPr="00FE2C2F" w:rsidRDefault="00BF12FB" w:rsidP="00BF12FB">
      <w:pPr>
        <w:keepNext/>
        <w:spacing w:after="0" w:line="240" w:lineRule="auto"/>
        <w:rPr>
          <w:b/>
        </w:rPr>
      </w:pPr>
      <w:r w:rsidRPr="00FE2C2F">
        <w:rPr>
          <w:b/>
        </w:rPr>
        <w:t xml:space="preserve">Can </w:t>
      </w:r>
      <w:r>
        <w:rPr>
          <w:b/>
        </w:rPr>
        <w:t>we</w:t>
      </w:r>
      <w:r w:rsidRPr="00FE2C2F">
        <w:rPr>
          <w:b/>
        </w:rPr>
        <w:t xml:space="preserve"> provide career-technical education</w:t>
      </w:r>
      <w:r>
        <w:rPr>
          <w:b/>
        </w:rPr>
        <w:t xml:space="preserve"> (CTE)</w:t>
      </w:r>
      <w:r w:rsidRPr="00FE2C2F">
        <w:rPr>
          <w:b/>
        </w:rPr>
        <w:t>?</w:t>
      </w:r>
    </w:p>
    <w:p w14:paraId="5E80B929" w14:textId="19C1D9EE" w:rsidR="00BF12FB" w:rsidRDefault="00BF12FB" w:rsidP="00BF12FB">
      <w:pPr>
        <w:spacing w:after="0" w:line="240" w:lineRule="auto"/>
        <w:ind w:left="720"/>
      </w:pPr>
      <w:r>
        <w:t>Applicants that provide career-technical education may be funded, but these applicants must provide evidence that the proposed CTE program contributes to a viable career pathway for their students. They should also demonstrate that the CTE program lays the groundwork for a student to continue on the pathway to further academic credentials should the student desire to do so.</w:t>
      </w:r>
      <w:r w:rsidR="006E4DB7">
        <w:t xml:space="preserve"> </w:t>
      </w:r>
      <w:r w:rsidR="00C93237">
        <w:t xml:space="preserve">A strong CTE program might include stackable credits, standards-based academics with a career-relevant, sequenced curriculum following industry-themed pathways that are aligned to high-need, high-growth, or emerging regional economic sectors, and/or articulated pathways to postsecondary education aligned with regional economies. </w:t>
      </w:r>
      <w:r w:rsidR="006E4DB7">
        <w:t>All programs must be housed within the higher education context. Programs house</w:t>
      </w:r>
      <w:r w:rsidR="00886C25">
        <w:t xml:space="preserve">d </w:t>
      </w:r>
      <w:r w:rsidR="006E4DB7">
        <w:t>within probation or parole will generally not be funded. Apprenticeship programs will not be funded.</w:t>
      </w:r>
    </w:p>
    <w:p w14:paraId="0B4C5169" w14:textId="77777777" w:rsidR="00BF12FB" w:rsidRDefault="00BF12FB" w:rsidP="00BF12FB">
      <w:pPr>
        <w:spacing w:after="0" w:line="240" w:lineRule="auto"/>
        <w:ind w:left="720"/>
      </w:pPr>
    </w:p>
    <w:p w14:paraId="09DBD1C2" w14:textId="77777777" w:rsidR="006E4DB7" w:rsidRDefault="006E4DB7" w:rsidP="00BF12FB">
      <w:pPr>
        <w:spacing w:after="0" w:line="240" w:lineRule="auto"/>
      </w:pPr>
      <w:r>
        <w:rPr>
          <w:b/>
        </w:rPr>
        <w:t>Can we provide distance education?</w:t>
      </w:r>
    </w:p>
    <w:p w14:paraId="510AC42F" w14:textId="77777777" w:rsidR="006E4DB7" w:rsidRDefault="006E4DB7" w:rsidP="006E4DB7">
      <w:pPr>
        <w:spacing w:after="0" w:line="240" w:lineRule="auto"/>
        <w:ind w:left="720"/>
      </w:pPr>
      <w:r>
        <w:t xml:space="preserve">Distance education is strongly discouraged. Proposals including an element of distance education must make a </w:t>
      </w:r>
      <w:r w:rsidR="006E04E9">
        <w:t>compelling</w:t>
      </w:r>
      <w:r>
        <w:t xml:space="preserve"> showing of need. Any distance education provided must be high-quality, interactive education. Correspondence education will not be funded.</w:t>
      </w:r>
    </w:p>
    <w:p w14:paraId="25152E92" w14:textId="77777777" w:rsidR="006E4DB7" w:rsidRDefault="006E4DB7" w:rsidP="00BF12FB">
      <w:pPr>
        <w:spacing w:after="0" w:line="240" w:lineRule="auto"/>
      </w:pPr>
    </w:p>
    <w:p w14:paraId="38A8554E" w14:textId="77777777" w:rsidR="00BF12FB" w:rsidRPr="00FE2C2F" w:rsidRDefault="00BF12FB" w:rsidP="00BF12FB">
      <w:pPr>
        <w:spacing w:after="0" w:line="240" w:lineRule="auto"/>
        <w:rPr>
          <w:b/>
        </w:rPr>
      </w:pPr>
      <w:r w:rsidRPr="00FE2C2F">
        <w:rPr>
          <w:b/>
        </w:rPr>
        <w:t>Are we required to serve a particular number of people?</w:t>
      </w:r>
    </w:p>
    <w:p w14:paraId="2CDD6901" w14:textId="77777777" w:rsidR="00BF12FB" w:rsidRDefault="00BF12FB" w:rsidP="00BF12FB">
      <w:pPr>
        <w:spacing w:after="0" w:line="240" w:lineRule="auto"/>
        <w:ind w:left="720"/>
      </w:pPr>
      <w:r>
        <w:t xml:space="preserve">No particular capacity is required. Successful applicants will present a feasible plan for effectively serving as many students as they can serve well, with a </w:t>
      </w:r>
      <w:r w:rsidR="008F43FE">
        <w:t xml:space="preserve">plan for </w:t>
      </w:r>
      <w:r>
        <w:t xml:space="preserve">growth </w:t>
      </w:r>
      <w:r w:rsidR="008F43FE">
        <w:t>and/</w:t>
      </w:r>
      <w:r>
        <w:t>or replication.</w:t>
      </w:r>
      <w:r w:rsidR="00C15FA9">
        <w:t xml:space="preserve"> </w:t>
      </w:r>
    </w:p>
    <w:p w14:paraId="451212C5" w14:textId="77777777" w:rsidR="00BF12FB" w:rsidRDefault="00BF12FB" w:rsidP="00BF12FB">
      <w:pPr>
        <w:spacing w:after="0" w:line="240" w:lineRule="auto"/>
        <w:rPr>
          <w:b/>
        </w:rPr>
      </w:pPr>
    </w:p>
    <w:p w14:paraId="5BFBAF88" w14:textId="77777777" w:rsidR="008F6315" w:rsidRDefault="008F6315" w:rsidP="00BF12FB">
      <w:pPr>
        <w:spacing w:after="0" w:line="240" w:lineRule="auto"/>
        <w:rPr>
          <w:b/>
        </w:rPr>
      </w:pPr>
    </w:p>
    <w:p w14:paraId="6166ED60" w14:textId="77777777" w:rsidR="00BF12FB" w:rsidRPr="00FE2C2F" w:rsidRDefault="00BF12FB" w:rsidP="00BF12FB">
      <w:pPr>
        <w:spacing w:after="0" w:line="240" w:lineRule="auto"/>
        <w:rPr>
          <w:b/>
        </w:rPr>
      </w:pPr>
      <w:r w:rsidRPr="00FE2C2F">
        <w:rPr>
          <w:b/>
        </w:rPr>
        <w:lastRenderedPageBreak/>
        <w:t>Do we have to enter into a M</w:t>
      </w:r>
      <w:r>
        <w:rPr>
          <w:b/>
        </w:rPr>
        <w:t xml:space="preserve">emorandum of </w:t>
      </w:r>
      <w:r w:rsidRPr="00FE2C2F">
        <w:rPr>
          <w:b/>
        </w:rPr>
        <w:t>U</w:t>
      </w:r>
      <w:r>
        <w:rPr>
          <w:b/>
        </w:rPr>
        <w:t>nderstanding (MOU)</w:t>
      </w:r>
      <w:r w:rsidRPr="00FE2C2F">
        <w:rPr>
          <w:b/>
        </w:rPr>
        <w:t xml:space="preserve"> with our partners?</w:t>
      </w:r>
    </w:p>
    <w:p w14:paraId="44AD6599" w14:textId="3F5F54BA" w:rsidR="00BF12FB" w:rsidRDefault="00BF12FB" w:rsidP="00BF12FB">
      <w:pPr>
        <w:spacing w:after="0" w:line="240" w:lineRule="auto"/>
        <w:ind w:left="720"/>
      </w:pPr>
      <w:r>
        <w:t xml:space="preserve">It is not necessary to have a formal MOU at the time of application. A formal letter of </w:t>
      </w:r>
      <w:r w:rsidR="006E4DB7">
        <w:t>commitment</w:t>
      </w:r>
      <w:r>
        <w:t xml:space="preserve"> signed by the partners is acceptable.</w:t>
      </w:r>
      <w:r w:rsidR="006E04E9">
        <w:t xml:space="preserve"> A MOU will be required as part of the contract process for applicants </w:t>
      </w:r>
      <w:r w:rsidR="00012201">
        <w:t xml:space="preserve">that are </w:t>
      </w:r>
      <w:r w:rsidR="006E04E9">
        <w:t>awarded funding.</w:t>
      </w:r>
    </w:p>
    <w:p w14:paraId="4B1F83BC" w14:textId="77777777" w:rsidR="00BF12FB" w:rsidRDefault="00BF12FB" w:rsidP="00BF12FB">
      <w:pPr>
        <w:spacing w:after="0" w:line="240" w:lineRule="auto"/>
        <w:rPr>
          <w:b/>
        </w:rPr>
      </w:pPr>
    </w:p>
    <w:p w14:paraId="130DA562" w14:textId="77777777" w:rsidR="00BF12FB" w:rsidRPr="00CB29EE" w:rsidRDefault="00BF12FB" w:rsidP="00BF12FB">
      <w:pPr>
        <w:spacing w:after="0" w:line="240" w:lineRule="auto"/>
        <w:rPr>
          <w:b/>
        </w:rPr>
      </w:pPr>
      <w:r>
        <w:rPr>
          <w:b/>
        </w:rPr>
        <w:t xml:space="preserve">The requirements include connecting students with reentry and social services. </w:t>
      </w:r>
      <w:r w:rsidRPr="00CB29EE">
        <w:rPr>
          <w:b/>
        </w:rPr>
        <w:t xml:space="preserve">Who </w:t>
      </w:r>
      <w:r>
        <w:rPr>
          <w:b/>
        </w:rPr>
        <w:t>must</w:t>
      </w:r>
      <w:r w:rsidRPr="00CB29EE">
        <w:rPr>
          <w:b/>
        </w:rPr>
        <w:t xml:space="preserve"> provide the</w:t>
      </w:r>
      <w:r>
        <w:rPr>
          <w:b/>
        </w:rPr>
        <w:t>se services?</w:t>
      </w:r>
    </w:p>
    <w:p w14:paraId="0D8E4B2A" w14:textId="77777777" w:rsidR="00BF12FB" w:rsidRDefault="00BF12FB" w:rsidP="00BF12FB">
      <w:pPr>
        <w:spacing w:after="0" w:line="240" w:lineRule="auto"/>
        <w:ind w:left="720"/>
        <w:rPr>
          <w:b/>
        </w:rPr>
      </w:pPr>
      <w:r>
        <w:t>These services do not have to be provided directly by the educational institution</w:t>
      </w:r>
      <w:r w:rsidR="006E4DB7">
        <w:t xml:space="preserve"> or applicant</w:t>
      </w:r>
      <w:r w:rsidR="003B07FD">
        <w:t xml:space="preserve">, though applicants should demonstrate their awareness of the reentry needs anticipated by their participant students and a plan for addressing them. </w:t>
      </w:r>
      <w:r>
        <w:t>Programs can connect students with these services through partnerships with local agencies and community-based organizations. Some examples of relevant services include: providing bus passes or other transportation support, housing assistance, employment placement services, and expungement services to clear criminal records.</w:t>
      </w:r>
    </w:p>
    <w:p w14:paraId="26E64454" w14:textId="77777777" w:rsidR="00BF12FB" w:rsidRDefault="00BF12FB" w:rsidP="00BF12FB">
      <w:pPr>
        <w:spacing w:after="0" w:line="240" w:lineRule="auto"/>
        <w:rPr>
          <w:b/>
        </w:rPr>
      </w:pPr>
    </w:p>
    <w:p w14:paraId="6AD81B96" w14:textId="77777777" w:rsidR="00BF12FB" w:rsidRPr="00FE2C2F" w:rsidRDefault="00BF12FB" w:rsidP="00BF12FB">
      <w:pPr>
        <w:spacing w:after="0" w:line="240" w:lineRule="auto"/>
        <w:rPr>
          <w:b/>
        </w:rPr>
      </w:pPr>
      <w:r w:rsidRPr="00FE2C2F">
        <w:rPr>
          <w:b/>
        </w:rPr>
        <w:t>Do prison</w:t>
      </w:r>
      <w:r>
        <w:rPr>
          <w:b/>
        </w:rPr>
        <w:t>-based</w:t>
      </w:r>
      <w:r w:rsidRPr="00FE2C2F">
        <w:rPr>
          <w:b/>
        </w:rPr>
        <w:t xml:space="preserve"> programs, especially those serving </w:t>
      </w:r>
      <w:r>
        <w:rPr>
          <w:b/>
        </w:rPr>
        <w:t>students without an imminent release date,</w:t>
      </w:r>
      <w:r w:rsidRPr="00FE2C2F">
        <w:rPr>
          <w:b/>
        </w:rPr>
        <w:t xml:space="preserve"> need to have formal agreements with reentry organizations?</w:t>
      </w:r>
    </w:p>
    <w:p w14:paraId="7FA737DC" w14:textId="77777777" w:rsidR="00BF12FB" w:rsidRDefault="00BF12FB" w:rsidP="00BF12FB">
      <w:pPr>
        <w:spacing w:after="0" w:line="240" w:lineRule="auto"/>
        <w:ind w:left="720"/>
      </w:pPr>
      <w:r>
        <w:t>Prison programs should help students plan for continuing their education upon release to the greatest extent possible. This may take a different form for prison-based programs compared to jail-based programs</w:t>
      </w:r>
      <w:r w:rsidR="00927CB6">
        <w:t xml:space="preserve"> and community-based programs</w:t>
      </w:r>
      <w:r>
        <w:t>, as students in prison may not be released to the community in which the prison is located</w:t>
      </w:r>
      <w:r w:rsidR="00700239">
        <w:t xml:space="preserve"> and because participating students may be serving lengthy prison sentences</w:t>
      </w:r>
      <w:r>
        <w:t>. However, because nearly all incarcerated students will eventually be released, prison-based programs should address how they will partner with relevant organizations and help students plan for release to the extent possible.</w:t>
      </w:r>
    </w:p>
    <w:p w14:paraId="4D16E231" w14:textId="77777777" w:rsidR="00BF12FB" w:rsidRDefault="00BF12FB" w:rsidP="00BF12FB">
      <w:pPr>
        <w:keepNext/>
        <w:spacing w:after="0" w:line="240" w:lineRule="auto"/>
        <w:rPr>
          <w:b/>
        </w:rPr>
      </w:pPr>
    </w:p>
    <w:p w14:paraId="01F0419B" w14:textId="77777777" w:rsidR="006E4DB7" w:rsidRPr="006E4DB7" w:rsidRDefault="006E4DB7" w:rsidP="00BF12FB">
      <w:pPr>
        <w:keepNext/>
        <w:spacing w:after="0" w:line="240" w:lineRule="auto"/>
        <w:rPr>
          <w:b/>
        </w:rPr>
      </w:pPr>
      <w:r w:rsidRPr="006E4DB7">
        <w:rPr>
          <w:b/>
        </w:rPr>
        <w:t xml:space="preserve">Do we have to provide </w:t>
      </w:r>
      <w:r w:rsidR="006E04E9">
        <w:rPr>
          <w:b/>
        </w:rPr>
        <w:t>credit-bearing courses</w:t>
      </w:r>
      <w:r w:rsidRPr="006E4DB7">
        <w:rPr>
          <w:b/>
        </w:rPr>
        <w:t xml:space="preserve"> if the program is jail-based?</w:t>
      </w:r>
    </w:p>
    <w:p w14:paraId="79117594" w14:textId="77777777" w:rsidR="006E4DB7" w:rsidRDefault="006E4DB7" w:rsidP="006E4DB7">
      <w:pPr>
        <w:keepNext/>
        <w:spacing w:after="0" w:line="240" w:lineRule="auto"/>
        <w:ind w:left="720"/>
      </w:pPr>
      <w:r>
        <w:t>Jail-based programs may offer college readiness courses alone as long as there is a bridge for students to continue into credit-bearing college courses in the community after release.</w:t>
      </w:r>
      <w:r w:rsidR="00927CB6">
        <w:t xml:space="preserve"> Jail-based programs are encouraged to</w:t>
      </w:r>
      <w:r w:rsidR="00886C25">
        <w:t xml:space="preserve"> creatively</w:t>
      </w:r>
      <w:r w:rsidR="00927CB6">
        <w:t xml:space="preserve"> build on-ramps from the jail to a local higher education institution. This may take the form of intensive short-term classes, readiness courses, or other preparatory classes provided by a higher education partner that link jail inmates with the higher education institution.</w:t>
      </w:r>
      <w:r w:rsidR="006E04E9">
        <w:t xml:space="preserve"> A partner support program at the higher education institution is strongly encouraged.</w:t>
      </w:r>
      <w:r w:rsidR="00927CB6">
        <w:t xml:space="preserve"> </w:t>
      </w:r>
    </w:p>
    <w:p w14:paraId="2DD8974B" w14:textId="77777777" w:rsidR="006E4DB7" w:rsidRDefault="006E4DB7" w:rsidP="006E4DB7">
      <w:pPr>
        <w:keepNext/>
        <w:spacing w:after="0" w:line="240" w:lineRule="auto"/>
        <w:ind w:left="720"/>
      </w:pPr>
    </w:p>
    <w:p w14:paraId="6930F1A2" w14:textId="77777777" w:rsidR="00BF12FB" w:rsidRPr="00FE2C2F" w:rsidRDefault="00BF12FB" w:rsidP="00BF12FB">
      <w:pPr>
        <w:keepNext/>
        <w:spacing w:after="0" w:line="240" w:lineRule="auto"/>
        <w:rPr>
          <w:b/>
        </w:rPr>
      </w:pPr>
      <w:r w:rsidRPr="00FE2C2F">
        <w:rPr>
          <w:b/>
        </w:rPr>
        <w:t xml:space="preserve">Can we provide </w:t>
      </w:r>
      <w:r>
        <w:rPr>
          <w:b/>
        </w:rPr>
        <w:t xml:space="preserve">noncredit </w:t>
      </w:r>
      <w:r w:rsidRPr="00FE2C2F">
        <w:rPr>
          <w:b/>
        </w:rPr>
        <w:t>college readiness</w:t>
      </w:r>
      <w:r>
        <w:rPr>
          <w:b/>
        </w:rPr>
        <w:t xml:space="preserve">/developmental/remedial </w:t>
      </w:r>
      <w:r w:rsidRPr="00FE2C2F">
        <w:rPr>
          <w:b/>
        </w:rPr>
        <w:t>courses?</w:t>
      </w:r>
    </w:p>
    <w:p w14:paraId="15B2C871" w14:textId="77777777" w:rsidR="00BF12FB" w:rsidRDefault="00BF12FB" w:rsidP="00BF12FB">
      <w:pPr>
        <w:spacing w:after="0" w:line="240" w:lineRule="auto"/>
        <w:ind w:left="720"/>
      </w:pPr>
      <w:r>
        <w:t xml:space="preserve">All applicants may – and are encouraged to – include college readiness as a pathway into a credit-bearing college program. Prison-based </w:t>
      </w:r>
      <w:r w:rsidR="00700239">
        <w:t xml:space="preserve">programs </w:t>
      </w:r>
      <w:r>
        <w:t>cannot offer only college readiness courses; they must also include a credit-bearing component.</w:t>
      </w:r>
      <w:r w:rsidR="00842DDD">
        <w:t xml:space="preserve"> Applicants should all include a plan for the provision of student readiness courses for those students who do not assess into the academic classes</w:t>
      </w:r>
      <w:r w:rsidR="003F2F89">
        <w:t xml:space="preserve"> being offered</w:t>
      </w:r>
      <w:r w:rsidR="00842DDD">
        <w:t>.</w:t>
      </w:r>
    </w:p>
    <w:p w14:paraId="06C062CF" w14:textId="77777777" w:rsidR="00BF12FB" w:rsidRDefault="00BF12FB" w:rsidP="00BF12FB">
      <w:pPr>
        <w:spacing w:after="0" w:line="240" w:lineRule="auto"/>
        <w:rPr>
          <w:b/>
        </w:rPr>
      </w:pPr>
    </w:p>
    <w:p w14:paraId="1D9B44D1" w14:textId="77777777" w:rsidR="00BF12FB" w:rsidRPr="00FE2C2F" w:rsidRDefault="00BF12FB" w:rsidP="00BF12FB">
      <w:pPr>
        <w:spacing w:after="0" w:line="240" w:lineRule="auto"/>
        <w:rPr>
          <w:b/>
        </w:rPr>
      </w:pPr>
      <w:r>
        <w:rPr>
          <w:b/>
        </w:rPr>
        <w:t xml:space="preserve">For a </w:t>
      </w:r>
      <w:r w:rsidRPr="00FE2C2F">
        <w:rPr>
          <w:b/>
        </w:rPr>
        <w:t>community</w:t>
      </w:r>
      <w:r>
        <w:rPr>
          <w:b/>
        </w:rPr>
        <w:t>-based</w:t>
      </w:r>
      <w:r w:rsidRPr="00FE2C2F">
        <w:rPr>
          <w:b/>
        </w:rPr>
        <w:t xml:space="preserve"> </w:t>
      </w:r>
      <w:r>
        <w:rPr>
          <w:b/>
        </w:rPr>
        <w:t>organization</w:t>
      </w:r>
      <w:r w:rsidRPr="00FE2C2F">
        <w:rPr>
          <w:b/>
        </w:rPr>
        <w:t xml:space="preserve"> applicant</w:t>
      </w:r>
      <w:r>
        <w:rPr>
          <w:b/>
        </w:rPr>
        <w:t xml:space="preserve"> proposing a program in prison or jail, may the applicant teach the courses of instruction, or must</w:t>
      </w:r>
      <w:r w:rsidRPr="00FE2C2F">
        <w:rPr>
          <w:b/>
        </w:rPr>
        <w:t xml:space="preserve"> the </w:t>
      </w:r>
      <w:r>
        <w:rPr>
          <w:b/>
        </w:rPr>
        <w:t>courses</w:t>
      </w:r>
      <w:r w:rsidRPr="00FE2C2F">
        <w:rPr>
          <w:b/>
        </w:rPr>
        <w:t xml:space="preserve"> be </w:t>
      </w:r>
      <w:r>
        <w:rPr>
          <w:b/>
        </w:rPr>
        <w:t>delivered</w:t>
      </w:r>
      <w:r w:rsidRPr="00FE2C2F">
        <w:rPr>
          <w:b/>
        </w:rPr>
        <w:t xml:space="preserve"> by a college </w:t>
      </w:r>
      <w:r>
        <w:rPr>
          <w:b/>
        </w:rPr>
        <w:t xml:space="preserve">or university </w:t>
      </w:r>
      <w:r w:rsidRPr="00FE2C2F">
        <w:rPr>
          <w:b/>
        </w:rPr>
        <w:t>partner?</w:t>
      </w:r>
    </w:p>
    <w:p w14:paraId="644AC5AC" w14:textId="16C6C45C" w:rsidR="006E04E9" w:rsidRDefault="00BF12FB" w:rsidP="008F6315">
      <w:pPr>
        <w:spacing w:after="0" w:line="240" w:lineRule="auto"/>
        <w:ind w:left="720"/>
      </w:pPr>
      <w:r>
        <w:t xml:space="preserve">Either the community-based organization or the educational institution can deliver the courses, as long as the courses are high-quality and students receive course credit from an accredited institution of higher education. It is acceptable for community-based organization applicants to </w:t>
      </w:r>
      <w:r>
        <w:lastRenderedPageBreak/>
        <w:t>offer the support and wrap-around services while partnering with an education institution that provides the coursework.</w:t>
      </w:r>
    </w:p>
    <w:p w14:paraId="238E317A" w14:textId="77777777" w:rsidR="00BF12FB" w:rsidRDefault="00BF12FB" w:rsidP="00BF12FB">
      <w:pPr>
        <w:spacing w:after="0" w:line="240" w:lineRule="auto"/>
        <w:rPr>
          <w:b/>
        </w:rPr>
      </w:pPr>
    </w:p>
    <w:p w14:paraId="210CCE91" w14:textId="77777777" w:rsidR="00840597" w:rsidRDefault="00840597" w:rsidP="00BF12FB">
      <w:pPr>
        <w:spacing w:after="0" w:line="240" w:lineRule="auto"/>
      </w:pPr>
      <w:r>
        <w:rPr>
          <w:b/>
        </w:rPr>
        <w:t xml:space="preserve">Does </w:t>
      </w:r>
      <w:r w:rsidR="009C4CD9">
        <w:rPr>
          <w:b/>
        </w:rPr>
        <w:t xml:space="preserve">a </w:t>
      </w:r>
      <w:r w:rsidR="00927CB6">
        <w:rPr>
          <w:b/>
        </w:rPr>
        <w:t xml:space="preserve">program </w:t>
      </w:r>
      <w:r w:rsidR="006E04E9">
        <w:rPr>
          <w:b/>
        </w:rPr>
        <w:t xml:space="preserve">for formerly incarcerated students </w:t>
      </w:r>
      <w:r w:rsidR="00927CB6">
        <w:rPr>
          <w:b/>
        </w:rPr>
        <w:t xml:space="preserve">have to provide academic programming or restrict </w:t>
      </w:r>
      <w:r>
        <w:rPr>
          <w:b/>
        </w:rPr>
        <w:t>the academic courses that</w:t>
      </w:r>
      <w:r w:rsidR="00FB5E15">
        <w:rPr>
          <w:b/>
        </w:rPr>
        <w:t xml:space="preserve"> students</w:t>
      </w:r>
      <w:r>
        <w:rPr>
          <w:b/>
        </w:rPr>
        <w:t xml:space="preserve"> can take?</w:t>
      </w:r>
    </w:p>
    <w:p w14:paraId="035D61D4" w14:textId="77777777" w:rsidR="00840597" w:rsidRDefault="00840597" w:rsidP="00840597">
      <w:pPr>
        <w:spacing w:after="0" w:line="240" w:lineRule="auto"/>
        <w:ind w:left="720"/>
      </w:pPr>
      <w:r>
        <w:t xml:space="preserve">A program </w:t>
      </w:r>
      <w:r w:rsidR="006E04E9">
        <w:t xml:space="preserve">for formerly incarcerated students </w:t>
      </w:r>
      <w:r>
        <w:t>need not itself provide academic courses, but it must provide services and support for participa</w:t>
      </w:r>
      <w:r w:rsidR="00FB5E15">
        <w:t>ting</w:t>
      </w:r>
      <w:r>
        <w:t xml:space="preserve"> students enrolled in the college or university. </w:t>
      </w:r>
      <w:r w:rsidR="003746B4">
        <w:t>Through the provision of counseling services</w:t>
      </w:r>
      <w:r w:rsidR="00242244">
        <w:t xml:space="preserve"> and other supports and services</w:t>
      </w:r>
      <w:r w:rsidR="003746B4">
        <w:t>, t</w:t>
      </w:r>
      <w:r>
        <w:t xml:space="preserve">he program must direct students onto a high-quality academic pathway. </w:t>
      </w:r>
      <w:r w:rsidR="008B01E3">
        <w:t>See earlier FAQ for CTE pathways.</w:t>
      </w:r>
      <w:r>
        <w:t xml:space="preserve"> </w:t>
      </w:r>
    </w:p>
    <w:p w14:paraId="307EAAA1" w14:textId="77777777" w:rsidR="00840597" w:rsidRDefault="00840597" w:rsidP="00BF12FB">
      <w:pPr>
        <w:spacing w:after="0" w:line="240" w:lineRule="auto"/>
      </w:pPr>
    </w:p>
    <w:p w14:paraId="0664A734" w14:textId="77777777" w:rsidR="00BF12FB" w:rsidRPr="00F46C07" w:rsidRDefault="00BF12FB" w:rsidP="00BF12FB">
      <w:pPr>
        <w:spacing w:after="0" w:line="240" w:lineRule="auto"/>
        <w:rPr>
          <w:b/>
        </w:rPr>
      </w:pPr>
      <w:r w:rsidRPr="00F46C07">
        <w:rPr>
          <w:b/>
        </w:rPr>
        <w:t xml:space="preserve">When do we need to begin </w:t>
      </w:r>
      <w:r>
        <w:rPr>
          <w:b/>
        </w:rPr>
        <w:t>delivering services/instruction to students</w:t>
      </w:r>
      <w:r w:rsidRPr="00F46C07">
        <w:rPr>
          <w:b/>
        </w:rPr>
        <w:t>?</w:t>
      </w:r>
    </w:p>
    <w:p w14:paraId="5E6F18A8" w14:textId="77777777" w:rsidR="00A72BEF" w:rsidRDefault="00BF12FB" w:rsidP="00BF12FB">
      <w:pPr>
        <w:spacing w:after="0" w:line="240" w:lineRule="auto"/>
        <w:ind w:left="720"/>
      </w:pPr>
      <w:r>
        <w:t>There is a maximum three-month planning phase allowable under the grant. We expect instruction and support services for students to begin fully no later than Fall 2016, and we encourage programs to begin serving students as soon as effectively possible.</w:t>
      </w:r>
    </w:p>
    <w:p w14:paraId="6711C9A8" w14:textId="77777777" w:rsidR="00A72BEF" w:rsidRDefault="00A72BEF" w:rsidP="00BF12FB">
      <w:pPr>
        <w:spacing w:after="0" w:line="240" w:lineRule="auto"/>
        <w:ind w:left="720"/>
      </w:pPr>
    </w:p>
    <w:p w14:paraId="30723010" w14:textId="77777777" w:rsidR="00A72BEF" w:rsidRPr="00F46C07" w:rsidRDefault="00A72BEF" w:rsidP="00A72BEF">
      <w:pPr>
        <w:spacing w:after="0" w:line="240" w:lineRule="auto"/>
        <w:rPr>
          <w:b/>
        </w:rPr>
      </w:pPr>
      <w:r>
        <w:rPr>
          <w:b/>
        </w:rPr>
        <w:t>For prison- or jail-based programs, do we have to identify particular faculty who will teach in the prison or jail</w:t>
      </w:r>
      <w:r w:rsidRPr="00F46C07">
        <w:rPr>
          <w:b/>
        </w:rPr>
        <w:t>?</w:t>
      </w:r>
    </w:p>
    <w:p w14:paraId="27AA9D39" w14:textId="77777777" w:rsidR="00A72BEF" w:rsidRDefault="00A72BEF" w:rsidP="00A72BEF">
      <w:pPr>
        <w:spacing w:after="0" w:line="240" w:lineRule="auto"/>
        <w:ind w:left="720"/>
      </w:pPr>
      <w:r>
        <w:t xml:space="preserve">Faculty </w:t>
      </w:r>
      <w:r w:rsidR="00526B1C">
        <w:t>must</w:t>
      </w:r>
      <w:r>
        <w:t xml:space="preserve"> be identified</w:t>
      </w:r>
      <w:r w:rsidR="00526B1C">
        <w:t xml:space="preserve"> only</w:t>
      </w:r>
      <w:r>
        <w:t xml:space="preserve"> if they will be part of the key staff for the program, providing services or support other than teaching. Although faculty who will be teaching need not be identified, applicants should address their plan for </w:t>
      </w:r>
      <w:r w:rsidR="003746B4">
        <w:t>selecting</w:t>
      </w:r>
      <w:r>
        <w:t xml:space="preserve"> and working with faculty who will teach inside the prison or jail. In addition, applicants should also specify the sequence of courses that will be provided over the three-year term of the initiative.</w:t>
      </w:r>
    </w:p>
    <w:p w14:paraId="575E4B27" w14:textId="77777777" w:rsidR="00BF12FB" w:rsidRDefault="00BF12FB" w:rsidP="00BF12FB">
      <w:pPr>
        <w:spacing w:after="0" w:line="240" w:lineRule="auto"/>
        <w:rPr>
          <w:b/>
        </w:rPr>
      </w:pPr>
    </w:p>
    <w:p w14:paraId="577600E4" w14:textId="77777777" w:rsidR="00BF12FB" w:rsidRPr="00CC6187" w:rsidRDefault="00BF12FB" w:rsidP="00BF12FB">
      <w:pPr>
        <w:spacing w:after="0" w:line="240" w:lineRule="auto"/>
        <w:rPr>
          <w:b/>
        </w:rPr>
      </w:pPr>
      <w:r w:rsidRPr="00CC6187">
        <w:rPr>
          <w:b/>
        </w:rPr>
        <w:t xml:space="preserve">When you say a </w:t>
      </w:r>
      <w:r>
        <w:rPr>
          <w:b/>
        </w:rPr>
        <w:t>“</w:t>
      </w:r>
      <w:r w:rsidRPr="00CC6187">
        <w:rPr>
          <w:b/>
        </w:rPr>
        <w:t xml:space="preserve">program </w:t>
      </w:r>
      <w:r>
        <w:rPr>
          <w:b/>
        </w:rPr>
        <w:t>director</w:t>
      </w:r>
      <w:r w:rsidRPr="00CC6187">
        <w:rPr>
          <w:b/>
        </w:rPr>
        <w:t>” is required, does that person have to work exclusively on this initiative?</w:t>
      </w:r>
    </w:p>
    <w:p w14:paraId="650D0FFB" w14:textId="77777777" w:rsidR="00867248" w:rsidRDefault="00BF12FB" w:rsidP="00867248">
      <w:pPr>
        <w:spacing w:after="0" w:line="240" w:lineRule="auto"/>
        <w:ind w:left="720"/>
      </w:pPr>
      <w:r>
        <w:t>No, the program director does not have to be exclusively working on this initiative, but he or she must spend a significant amount of time focused on this work to ensure its effective launch and successful implementation.</w:t>
      </w:r>
    </w:p>
    <w:p w14:paraId="412AF244" w14:textId="77777777" w:rsidR="00867248" w:rsidRDefault="00867248" w:rsidP="00E20B00">
      <w:pPr>
        <w:spacing w:after="0" w:line="240" w:lineRule="auto"/>
      </w:pPr>
    </w:p>
    <w:p w14:paraId="279CEBA1" w14:textId="77777777" w:rsidR="00867248" w:rsidRDefault="00867248" w:rsidP="00867248">
      <w:pPr>
        <w:spacing w:after="0" w:line="240" w:lineRule="auto"/>
        <w:rPr>
          <w:b/>
        </w:rPr>
      </w:pPr>
      <w:r>
        <w:rPr>
          <w:b/>
        </w:rPr>
        <w:t>What are the reporting requirements?</w:t>
      </w:r>
    </w:p>
    <w:p w14:paraId="3894F406" w14:textId="1109E788" w:rsidR="006E04E9" w:rsidRPr="00867248" w:rsidRDefault="00867248" w:rsidP="00E20B00">
      <w:pPr>
        <w:spacing w:after="0" w:line="240" w:lineRule="auto"/>
        <w:ind w:left="720"/>
      </w:pPr>
      <w:r>
        <w:t>Successful applicants will be required to submit quarterly reports</w:t>
      </w:r>
      <w:r w:rsidR="00842DDD">
        <w:t xml:space="preserve"> to The Opportunity Institute. Information such as the number of students served, the number of students assessed, and implementation progress reporting will be included.</w:t>
      </w:r>
      <w:r w:rsidR="00526B1C">
        <w:t xml:space="preserve"> The Opportunity Institute will also </w:t>
      </w:r>
      <w:r w:rsidR="009C4CD9">
        <w:t xml:space="preserve">conduct </w:t>
      </w:r>
      <w:r w:rsidR="00526B1C">
        <w:t>regular check-ins with the selected sites, both in person and by phone.</w:t>
      </w:r>
    </w:p>
    <w:p w14:paraId="67F7C444" w14:textId="159ADC1C" w:rsidR="00BF12FB" w:rsidRPr="00E20B00" w:rsidRDefault="00BF12FB" w:rsidP="00E20B00">
      <w:pPr>
        <w:pStyle w:val="Heading2"/>
      </w:pPr>
      <w:bookmarkStart w:id="23" w:name="_Toc434571656"/>
      <w:r w:rsidRPr="004418B2">
        <w:t>B</w:t>
      </w:r>
      <w:r w:rsidR="00B21B02">
        <w:t>udget</w:t>
      </w:r>
      <w:bookmarkEnd w:id="23"/>
    </w:p>
    <w:p w14:paraId="273153D3" w14:textId="77777777" w:rsidR="00BF12FB" w:rsidRPr="00FE2C2F" w:rsidRDefault="00BF12FB" w:rsidP="00BF12FB">
      <w:pPr>
        <w:spacing w:after="0" w:line="240" w:lineRule="auto"/>
        <w:rPr>
          <w:b/>
        </w:rPr>
      </w:pPr>
      <w:r w:rsidRPr="00FE2C2F">
        <w:rPr>
          <w:b/>
        </w:rPr>
        <w:t xml:space="preserve">How much </w:t>
      </w:r>
      <w:r>
        <w:rPr>
          <w:b/>
        </w:rPr>
        <w:t>funding</w:t>
      </w:r>
      <w:r w:rsidRPr="00FE2C2F">
        <w:rPr>
          <w:b/>
        </w:rPr>
        <w:t xml:space="preserve"> will each recipient </w:t>
      </w:r>
      <w:r>
        <w:rPr>
          <w:b/>
        </w:rPr>
        <w:t>receive</w:t>
      </w:r>
      <w:r w:rsidRPr="00FE2C2F">
        <w:rPr>
          <w:b/>
        </w:rPr>
        <w:t>?</w:t>
      </w:r>
    </w:p>
    <w:p w14:paraId="2A698771" w14:textId="77777777" w:rsidR="00BF12FB" w:rsidRDefault="00BF12FB" w:rsidP="00BF12FB">
      <w:pPr>
        <w:spacing w:after="0" w:line="240" w:lineRule="auto"/>
        <w:ind w:left="720"/>
      </w:pPr>
      <w:r>
        <w:t>The amount of each award will vary by number of students served, location, program intervention, potential for growth, and other factors.</w:t>
      </w:r>
    </w:p>
    <w:p w14:paraId="2D7DBFF6" w14:textId="77777777" w:rsidR="00BF12FB" w:rsidRDefault="00BF12FB" w:rsidP="00BF12FB">
      <w:pPr>
        <w:spacing w:after="0" w:line="240" w:lineRule="auto"/>
        <w:rPr>
          <w:b/>
        </w:rPr>
      </w:pPr>
    </w:p>
    <w:p w14:paraId="4C3A05E6" w14:textId="77777777" w:rsidR="00BF12FB" w:rsidRPr="00FE2C2F" w:rsidRDefault="00BF12FB" w:rsidP="00BF12FB">
      <w:pPr>
        <w:spacing w:after="0" w:line="240" w:lineRule="auto"/>
        <w:rPr>
          <w:b/>
        </w:rPr>
      </w:pPr>
      <w:r w:rsidRPr="00FE2C2F">
        <w:rPr>
          <w:b/>
        </w:rPr>
        <w:t>When will funds be distributed?</w:t>
      </w:r>
    </w:p>
    <w:p w14:paraId="690137F9" w14:textId="77777777" w:rsidR="00BF12FB" w:rsidRDefault="00BF12FB" w:rsidP="00BF12FB">
      <w:pPr>
        <w:spacing w:after="0" w:line="240" w:lineRule="auto"/>
        <w:ind w:left="720"/>
      </w:pPr>
      <w:r w:rsidRPr="004F2DBA">
        <w:t>The funds will be distributed in late Spring 2016 following successful contract negotiations between the awardee and The Opportunity Institute.</w:t>
      </w:r>
    </w:p>
    <w:p w14:paraId="2C2B97D0" w14:textId="77777777" w:rsidR="003C5A76" w:rsidRDefault="003C5A76" w:rsidP="00BF12FB">
      <w:pPr>
        <w:spacing w:after="0" w:line="240" w:lineRule="auto"/>
        <w:rPr>
          <w:b/>
        </w:rPr>
      </w:pPr>
    </w:p>
    <w:p w14:paraId="6267C7B6" w14:textId="77777777" w:rsidR="008F6315" w:rsidRDefault="008F6315" w:rsidP="00BF12FB">
      <w:pPr>
        <w:spacing w:after="0" w:line="240" w:lineRule="auto"/>
        <w:rPr>
          <w:b/>
        </w:rPr>
      </w:pPr>
    </w:p>
    <w:p w14:paraId="426581D9" w14:textId="77777777" w:rsidR="008F6315" w:rsidRDefault="008F6315" w:rsidP="00BF12FB">
      <w:pPr>
        <w:spacing w:after="0" w:line="240" w:lineRule="auto"/>
        <w:rPr>
          <w:b/>
        </w:rPr>
      </w:pPr>
    </w:p>
    <w:p w14:paraId="4FAF3FAF" w14:textId="77777777" w:rsidR="00BF12FB" w:rsidRPr="00FE2C2F" w:rsidRDefault="00BF12FB" w:rsidP="00BF12FB">
      <w:pPr>
        <w:spacing w:after="0" w:line="240" w:lineRule="auto"/>
        <w:rPr>
          <w:b/>
        </w:rPr>
      </w:pPr>
      <w:r w:rsidRPr="00FE2C2F">
        <w:rPr>
          <w:b/>
        </w:rPr>
        <w:lastRenderedPageBreak/>
        <w:t>What are non-allowable expenses?</w:t>
      </w:r>
    </w:p>
    <w:p w14:paraId="112B0A0C" w14:textId="77777777" w:rsidR="00BF12FB" w:rsidRDefault="00BF12FB" w:rsidP="00BF12FB">
      <w:pPr>
        <w:spacing w:after="0" w:line="240" w:lineRule="auto"/>
        <w:ind w:left="720"/>
      </w:pPr>
      <w:r>
        <w:t>Non-allowable expenses include cash transfers directly to students and subsidized housing for students.</w:t>
      </w:r>
      <w:r w:rsidR="00842DDD">
        <w:t xml:space="preserve"> Expenses can include technology for student participants (tablets, e-readers, etc</w:t>
      </w:r>
      <w:r w:rsidR="00C15FA9">
        <w:t>.</w:t>
      </w:r>
      <w:r w:rsidR="00842DDD">
        <w:t>) but funding will not be provided for students to keep the technology permanently.</w:t>
      </w:r>
    </w:p>
    <w:p w14:paraId="3B2D304C" w14:textId="77777777" w:rsidR="00BF12FB" w:rsidRDefault="00BF12FB" w:rsidP="00BF12FB">
      <w:pPr>
        <w:spacing w:after="0" w:line="240" w:lineRule="auto"/>
        <w:rPr>
          <w:b/>
        </w:rPr>
      </w:pPr>
    </w:p>
    <w:p w14:paraId="4FA2A774" w14:textId="77777777" w:rsidR="00BF12FB" w:rsidRDefault="00BF12FB" w:rsidP="00BF12FB">
      <w:pPr>
        <w:spacing w:after="0" w:line="240" w:lineRule="auto"/>
        <w:rPr>
          <w:b/>
        </w:rPr>
      </w:pPr>
      <w:r w:rsidRPr="00F93F7C">
        <w:rPr>
          <w:b/>
        </w:rPr>
        <w:t>Is it acceptable to budget for student assistants?</w:t>
      </w:r>
      <w:r w:rsidRPr="00F93F7C" w:rsidDel="003B433D">
        <w:rPr>
          <w:b/>
        </w:rPr>
        <w:t xml:space="preserve"> </w:t>
      </w:r>
    </w:p>
    <w:p w14:paraId="2DFEF0CC" w14:textId="77777777" w:rsidR="00BF12FB" w:rsidRPr="00F256EB" w:rsidRDefault="00BF12FB" w:rsidP="00BF12FB">
      <w:pPr>
        <w:spacing w:after="0" w:line="240" w:lineRule="auto"/>
        <w:ind w:left="720"/>
      </w:pPr>
      <w:r w:rsidRPr="00F256EB">
        <w:t>Yes, including paid students assistants or mentors in your budget i</w:t>
      </w:r>
      <w:r>
        <w:t xml:space="preserve">s acceptable. All budget items </w:t>
      </w:r>
      <w:r w:rsidRPr="00F256EB">
        <w:t>will be evaluated for reasonableness and quality as part of the review process.</w:t>
      </w:r>
    </w:p>
    <w:p w14:paraId="28688BEA" w14:textId="77777777" w:rsidR="00BF12FB" w:rsidRDefault="00BF12FB" w:rsidP="00BF12FB">
      <w:pPr>
        <w:spacing w:after="0" w:line="240" w:lineRule="auto"/>
      </w:pPr>
    </w:p>
    <w:p w14:paraId="4DCC66A0" w14:textId="77777777" w:rsidR="00BF12FB" w:rsidRPr="00593CE1" w:rsidRDefault="00BF12FB" w:rsidP="00BF12FB">
      <w:pPr>
        <w:spacing w:after="0" w:line="240" w:lineRule="auto"/>
        <w:rPr>
          <w:b/>
        </w:rPr>
      </w:pPr>
      <w:r w:rsidRPr="00593CE1">
        <w:rPr>
          <w:b/>
        </w:rPr>
        <w:t>Can grant funds be used to offer training for faculty or staff who are entering and/or teaching in a prison or jail?</w:t>
      </w:r>
    </w:p>
    <w:p w14:paraId="3589E111" w14:textId="77777777" w:rsidR="00BF12FB" w:rsidRPr="00E4701A" w:rsidRDefault="00BF12FB" w:rsidP="00BF12FB">
      <w:pPr>
        <w:spacing w:after="0" w:line="240" w:lineRule="auto"/>
        <w:ind w:left="720"/>
      </w:pPr>
      <w:r w:rsidRPr="00593CE1">
        <w:t>Most, if not all, correctional facility partners will require that faculty or staff receive training before entering</w:t>
      </w:r>
      <w:r w:rsidR="00840597">
        <w:t>; either the facility or the academic institution can propose to cover the cost. If additional training is deemed necessary, the cost of that additional training should be reflected in the budget and the rationale should be addressed in the budget narrative.</w:t>
      </w:r>
    </w:p>
    <w:p w14:paraId="058C13F5" w14:textId="77777777" w:rsidR="00BF12FB" w:rsidRDefault="00BF12FB" w:rsidP="00BF12FB">
      <w:pPr>
        <w:keepNext/>
        <w:spacing w:after="0" w:line="240" w:lineRule="auto"/>
        <w:rPr>
          <w:b/>
        </w:rPr>
      </w:pPr>
    </w:p>
    <w:p w14:paraId="69E65C1E" w14:textId="77777777" w:rsidR="00BF12FB" w:rsidRDefault="00BF12FB" w:rsidP="00BF12FB">
      <w:pPr>
        <w:keepNext/>
        <w:spacing w:after="0" w:line="240" w:lineRule="auto"/>
        <w:rPr>
          <w:b/>
        </w:rPr>
      </w:pPr>
      <w:r>
        <w:rPr>
          <w:b/>
        </w:rPr>
        <w:t>Are currently and formerly incarcerated students eligible for financial aid awards?</w:t>
      </w:r>
    </w:p>
    <w:p w14:paraId="4568DAFE" w14:textId="77777777" w:rsidR="00BF12FB" w:rsidRPr="00D57D86" w:rsidRDefault="00BF12FB" w:rsidP="00BF12FB">
      <w:pPr>
        <w:spacing w:after="0" w:line="240" w:lineRule="auto"/>
        <w:ind w:left="720"/>
      </w:pPr>
      <w:r>
        <w:t xml:space="preserve">Applicants are encouraged to work with the financial aid counselors at their higher education institution to determine the financial eligibility for program students. In general, students incarcerated in both prison and jail and formerly incarcerated students are eligible for BOG </w:t>
      </w:r>
      <w:r w:rsidR="00526B1C">
        <w:t xml:space="preserve">Enrollment </w:t>
      </w:r>
      <w:r w:rsidR="00181608">
        <w:t xml:space="preserve">Fee </w:t>
      </w:r>
      <w:r>
        <w:t>Waivers at California Community Colleges, and they may be eligible for other types of financial aid. Prison students are not currently eligible for Federal Pell Grants</w:t>
      </w:r>
      <w:r w:rsidR="00840597">
        <w:t xml:space="preserve"> although jail students are eligible</w:t>
      </w:r>
      <w:r>
        <w:t xml:space="preserve">. Applicants should consult Appendix C: College Admission and Financial Aid Overview for Currently and Formerly Incarcerated Students in </w:t>
      </w:r>
      <w:r w:rsidRPr="00CA2CA7">
        <w:rPr>
          <w:i/>
        </w:rPr>
        <w:t>Degrees of Freedom</w:t>
      </w:r>
      <w:r>
        <w:rPr>
          <w:i/>
        </w:rPr>
        <w:t xml:space="preserve"> </w:t>
      </w:r>
      <w:r>
        <w:t>or the Financial Aid Office of the college or university applicant or partner for further information on financial aid eligibility.</w:t>
      </w:r>
      <w:r w:rsidR="00840597">
        <w:t xml:space="preserve"> </w:t>
      </w:r>
      <w:r w:rsidR="00526B1C">
        <w:t>Federal f</w:t>
      </w:r>
      <w:r w:rsidR="00840597">
        <w:t>inancial aid cannot count as a matching resource.</w:t>
      </w:r>
      <w:r w:rsidR="00526B1C">
        <w:t xml:space="preserve"> Financial aid in the forms of loans cannot count as a matching resource.</w:t>
      </w:r>
    </w:p>
    <w:p w14:paraId="62A611EC" w14:textId="77777777" w:rsidR="00BF12FB" w:rsidRDefault="00BF12FB" w:rsidP="00BF12FB">
      <w:pPr>
        <w:spacing w:after="0" w:line="240" w:lineRule="auto"/>
        <w:rPr>
          <w:b/>
        </w:rPr>
      </w:pPr>
    </w:p>
    <w:p w14:paraId="180A67CC" w14:textId="77777777" w:rsidR="00BF12FB" w:rsidRPr="00FE2C2F" w:rsidRDefault="00BF12FB" w:rsidP="00BF12FB">
      <w:pPr>
        <w:spacing w:after="0" w:line="240" w:lineRule="auto"/>
        <w:rPr>
          <w:b/>
        </w:rPr>
      </w:pPr>
      <w:r w:rsidRPr="00FE2C2F">
        <w:rPr>
          <w:b/>
        </w:rPr>
        <w:t xml:space="preserve">Who can supply the </w:t>
      </w:r>
      <w:r>
        <w:rPr>
          <w:b/>
        </w:rPr>
        <w:t xml:space="preserve">public </w:t>
      </w:r>
      <w:r w:rsidRPr="00FE2C2F">
        <w:rPr>
          <w:b/>
        </w:rPr>
        <w:t>matching resources?</w:t>
      </w:r>
    </w:p>
    <w:p w14:paraId="623CC783" w14:textId="77777777" w:rsidR="00BF12FB" w:rsidRPr="00EC0C55" w:rsidRDefault="00BF12FB" w:rsidP="00BF12FB">
      <w:pPr>
        <w:pStyle w:val="CommentText"/>
        <w:spacing w:after="0"/>
        <w:ind w:left="720"/>
        <w:rPr>
          <w:sz w:val="22"/>
          <w:szCs w:val="22"/>
        </w:rPr>
      </w:pPr>
      <w:r>
        <w:rPr>
          <w:sz w:val="22"/>
          <w:szCs w:val="22"/>
        </w:rPr>
        <w:t>F</w:t>
      </w:r>
      <w:r w:rsidRPr="00EC0C55">
        <w:rPr>
          <w:sz w:val="22"/>
          <w:szCs w:val="22"/>
        </w:rPr>
        <w:t xml:space="preserve">or all programs, the matching resources must come from a local or state public source but need </w:t>
      </w:r>
      <w:r w:rsidR="00526B1C">
        <w:rPr>
          <w:sz w:val="22"/>
          <w:szCs w:val="22"/>
        </w:rPr>
        <w:t xml:space="preserve">not </w:t>
      </w:r>
      <w:r w:rsidRPr="00EC0C55">
        <w:rPr>
          <w:sz w:val="22"/>
          <w:szCs w:val="22"/>
        </w:rPr>
        <w:t>come entirely from the applicant entity. It is encouraged that the match</w:t>
      </w:r>
      <w:r w:rsidR="00840597">
        <w:rPr>
          <w:sz w:val="22"/>
          <w:szCs w:val="22"/>
        </w:rPr>
        <w:t xml:space="preserve"> </w:t>
      </w:r>
      <w:r w:rsidR="008B01E3">
        <w:rPr>
          <w:sz w:val="22"/>
          <w:szCs w:val="22"/>
        </w:rPr>
        <w:t>d</w:t>
      </w:r>
      <w:r w:rsidRPr="00EC0C55">
        <w:rPr>
          <w:sz w:val="22"/>
          <w:szCs w:val="22"/>
        </w:rPr>
        <w:t xml:space="preserve">emonstrate commitment from both criminal justice and education stakeholders. </w:t>
      </w:r>
      <w:r>
        <w:rPr>
          <w:sz w:val="22"/>
          <w:szCs w:val="22"/>
        </w:rPr>
        <w:t xml:space="preserve">Possible sources of the match include funding from </w:t>
      </w:r>
      <w:r w:rsidRPr="00EC0C55">
        <w:rPr>
          <w:sz w:val="22"/>
          <w:szCs w:val="22"/>
        </w:rPr>
        <w:t>California Community Colleges Chancellor’s Office</w:t>
      </w:r>
      <w:r w:rsidR="003746B4">
        <w:rPr>
          <w:sz w:val="22"/>
          <w:szCs w:val="22"/>
        </w:rPr>
        <w:t xml:space="preserve"> (including E</w:t>
      </w:r>
      <w:r w:rsidR="00A72BEF">
        <w:rPr>
          <w:sz w:val="22"/>
          <w:szCs w:val="22"/>
        </w:rPr>
        <w:t>quity funds, SSSP funds</w:t>
      </w:r>
      <w:r w:rsidR="003746B4">
        <w:rPr>
          <w:sz w:val="22"/>
          <w:szCs w:val="22"/>
        </w:rPr>
        <w:t>)</w:t>
      </w:r>
      <w:r w:rsidR="00A72BEF">
        <w:rPr>
          <w:sz w:val="22"/>
          <w:szCs w:val="22"/>
        </w:rPr>
        <w:t xml:space="preserve">, </w:t>
      </w:r>
      <w:r w:rsidRPr="00EC0C55">
        <w:rPr>
          <w:sz w:val="22"/>
          <w:szCs w:val="22"/>
        </w:rPr>
        <w:t>the California Department of Corrections and Rehabilitation, local government grants, AB 109 funds, AB 86/</w:t>
      </w:r>
      <w:r>
        <w:rPr>
          <w:sz w:val="22"/>
          <w:szCs w:val="22"/>
        </w:rPr>
        <w:t xml:space="preserve">AB </w:t>
      </w:r>
      <w:r w:rsidRPr="00EC0C55">
        <w:rPr>
          <w:sz w:val="22"/>
          <w:szCs w:val="22"/>
        </w:rPr>
        <w:t>104 funds, or other sources. For example, a portion of the cash match could be a dedicated employee in the County probation department, who will receive training from the education institution and who will be a point of contact for the proposed project.</w:t>
      </w:r>
    </w:p>
    <w:p w14:paraId="50BED497" w14:textId="77777777" w:rsidR="00BF12FB" w:rsidRDefault="00BF12FB" w:rsidP="00BF12FB">
      <w:pPr>
        <w:spacing w:after="0" w:line="240" w:lineRule="auto"/>
        <w:ind w:left="720"/>
      </w:pPr>
    </w:p>
    <w:p w14:paraId="43EE8331" w14:textId="77777777" w:rsidR="00BF12FB" w:rsidRDefault="00BF12FB" w:rsidP="00BF12FB">
      <w:pPr>
        <w:spacing w:after="0" w:line="240" w:lineRule="auto"/>
        <w:ind w:left="720"/>
      </w:pPr>
      <w:r w:rsidRPr="00EC0C55">
        <w:t>Matching resources from private and federal public sources will not count towards the match requirement in evaluating proposals but are encouraged.</w:t>
      </w:r>
    </w:p>
    <w:p w14:paraId="302BBC94" w14:textId="77777777" w:rsidR="00840597" w:rsidRDefault="00840597" w:rsidP="00B71A34">
      <w:pPr>
        <w:spacing w:after="0" w:line="240" w:lineRule="auto"/>
      </w:pPr>
    </w:p>
    <w:p w14:paraId="1F6BDF21" w14:textId="77777777" w:rsidR="003C5A76" w:rsidRDefault="003C5A76" w:rsidP="00BF12FB">
      <w:pPr>
        <w:spacing w:after="0" w:line="240" w:lineRule="auto"/>
        <w:rPr>
          <w:b/>
        </w:rPr>
      </w:pPr>
    </w:p>
    <w:p w14:paraId="085BC34B" w14:textId="77777777" w:rsidR="003C5A76" w:rsidRDefault="003C5A76" w:rsidP="00BF12FB">
      <w:pPr>
        <w:spacing w:after="0" w:line="240" w:lineRule="auto"/>
        <w:rPr>
          <w:b/>
        </w:rPr>
      </w:pPr>
    </w:p>
    <w:p w14:paraId="435FC09B" w14:textId="77777777" w:rsidR="003C5A76" w:rsidRDefault="003C5A76" w:rsidP="00BF12FB">
      <w:pPr>
        <w:spacing w:after="0" w:line="240" w:lineRule="auto"/>
        <w:rPr>
          <w:b/>
        </w:rPr>
      </w:pPr>
    </w:p>
    <w:p w14:paraId="4B6CC22A" w14:textId="77777777" w:rsidR="003C5A76" w:rsidRDefault="003C5A76" w:rsidP="00BF12FB">
      <w:pPr>
        <w:spacing w:after="0" w:line="240" w:lineRule="auto"/>
        <w:rPr>
          <w:b/>
        </w:rPr>
      </w:pPr>
    </w:p>
    <w:p w14:paraId="2661A684" w14:textId="77777777" w:rsidR="003C5A76" w:rsidRDefault="003C5A76" w:rsidP="00BF12FB">
      <w:pPr>
        <w:spacing w:after="0" w:line="240" w:lineRule="auto"/>
        <w:rPr>
          <w:b/>
        </w:rPr>
      </w:pPr>
    </w:p>
    <w:p w14:paraId="0B3DE6F4" w14:textId="77777777" w:rsidR="003C5A76" w:rsidRDefault="003C5A76" w:rsidP="00BF12FB">
      <w:pPr>
        <w:spacing w:after="0" w:line="240" w:lineRule="auto"/>
        <w:rPr>
          <w:b/>
        </w:rPr>
      </w:pPr>
    </w:p>
    <w:p w14:paraId="18EE4213" w14:textId="77777777" w:rsidR="00BF12FB" w:rsidRPr="00FE2C2F" w:rsidRDefault="00BF12FB" w:rsidP="00BF12FB">
      <w:pPr>
        <w:spacing w:after="0" w:line="240" w:lineRule="auto"/>
        <w:rPr>
          <w:b/>
        </w:rPr>
      </w:pPr>
      <w:r w:rsidRPr="00FE2C2F">
        <w:rPr>
          <w:b/>
        </w:rPr>
        <w:lastRenderedPageBreak/>
        <w:t>Does the matching have to be one-to-one?</w:t>
      </w:r>
    </w:p>
    <w:p w14:paraId="0769913F" w14:textId="77777777" w:rsidR="00840597" w:rsidRDefault="00BF12FB" w:rsidP="00BF12FB">
      <w:pPr>
        <w:spacing w:after="0" w:line="240" w:lineRule="auto"/>
        <w:ind w:left="720"/>
      </w:pPr>
      <w:r>
        <w:t xml:space="preserve">No, the matching resources do not have to be one-to-one. The public match must comprise </w:t>
      </w:r>
      <w:r w:rsidR="00840597">
        <w:t xml:space="preserve">a minimum of </w:t>
      </w:r>
      <w:r>
        <w:t>25% of the total project budget</w:t>
      </w:r>
      <w:r w:rsidR="00840597">
        <w:t xml:space="preserve">. In-kind matches can constitute no more than </w:t>
      </w:r>
      <w:r w:rsidR="00A20B4C">
        <w:t>one-third</w:t>
      </w:r>
      <w:r w:rsidR="00840597">
        <w:t xml:space="preserve"> of the total </w:t>
      </w:r>
      <w:r w:rsidR="003746B4">
        <w:t xml:space="preserve">public </w:t>
      </w:r>
      <w:r w:rsidR="00840597">
        <w:t>match</w:t>
      </w:r>
      <w:r>
        <w:t xml:space="preserve">. </w:t>
      </w:r>
    </w:p>
    <w:p w14:paraId="77F5D628" w14:textId="77777777" w:rsidR="00840597" w:rsidRDefault="00840597" w:rsidP="00BF12FB">
      <w:pPr>
        <w:spacing w:after="0" w:line="240" w:lineRule="auto"/>
        <w:ind w:left="720"/>
      </w:pPr>
    </w:p>
    <w:p w14:paraId="2D25A62E" w14:textId="77777777" w:rsidR="00BF12FB" w:rsidRDefault="00840597" w:rsidP="00BF12FB">
      <w:pPr>
        <w:spacing w:after="0" w:line="240" w:lineRule="auto"/>
        <w:ind w:left="720"/>
      </w:pPr>
      <w:r>
        <w:t>A</w:t>
      </w:r>
      <w:r w:rsidR="00BF12FB">
        <w:t>pplica</w:t>
      </w:r>
      <w:r w:rsidR="006F00EB">
        <w:t>tions</w:t>
      </w:r>
      <w:r w:rsidR="00BF12FB">
        <w:t xml:space="preserve"> with a greater portion of their budget covered by the public match</w:t>
      </w:r>
      <w:r w:rsidR="006F00EB">
        <w:t xml:space="preserve"> </w:t>
      </w:r>
      <w:r>
        <w:t>and</w:t>
      </w:r>
      <w:r w:rsidR="00BF12FB">
        <w:t xml:space="preserve"> applications that increase the proportion of the budget provided by public sources over the three-year period will receive greater weight in the selection process. </w:t>
      </w:r>
    </w:p>
    <w:p w14:paraId="784BC722" w14:textId="77777777" w:rsidR="00BF12FB" w:rsidRDefault="00BF12FB" w:rsidP="00BF12FB">
      <w:pPr>
        <w:spacing w:after="0" w:line="240" w:lineRule="auto"/>
        <w:rPr>
          <w:b/>
        </w:rPr>
      </w:pPr>
    </w:p>
    <w:p w14:paraId="0E235206" w14:textId="77777777" w:rsidR="00BF12FB" w:rsidRDefault="00840597" w:rsidP="00BF12FB">
      <w:pPr>
        <w:spacing w:after="0" w:line="240" w:lineRule="auto"/>
        <w:rPr>
          <w:b/>
        </w:rPr>
      </w:pPr>
      <w:r>
        <w:rPr>
          <w:b/>
        </w:rPr>
        <w:t>What constitutes an in-kind match</w:t>
      </w:r>
      <w:r w:rsidR="00BF12FB">
        <w:rPr>
          <w:b/>
        </w:rPr>
        <w:t>?</w:t>
      </w:r>
    </w:p>
    <w:p w14:paraId="7C0E6E97" w14:textId="77777777" w:rsidR="008B01E3" w:rsidRDefault="00840597" w:rsidP="00BF12FB">
      <w:pPr>
        <w:spacing w:after="0" w:line="240" w:lineRule="auto"/>
        <w:ind w:left="720"/>
      </w:pPr>
      <w:r>
        <w:t>The</w:t>
      </w:r>
      <w:r w:rsidR="00BF12FB">
        <w:t xml:space="preserve"> public match may include up to one-third </w:t>
      </w:r>
      <w:r w:rsidR="00BF12FB" w:rsidRPr="00711474">
        <w:t>in-kind contributions.</w:t>
      </w:r>
      <w:r w:rsidR="00BF12FB">
        <w:t xml:space="preserve"> In-kind contributions could include dedicated space in the prison, jail, or education institution; tuition and fee waivers (</w:t>
      </w:r>
      <w:r w:rsidR="009053D1">
        <w:t xml:space="preserve">including </w:t>
      </w:r>
      <w:r w:rsidR="00BF12FB">
        <w:t xml:space="preserve">BOG </w:t>
      </w:r>
      <w:r w:rsidR="00526B1C">
        <w:t xml:space="preserve">Enrollment </w:t>
      </w:r>
      <w:r w:rsidR="00764353">
        <w:t xml:space="preserve">Fee </w:t>
      </w:r>
      <w:r w:rsidR="00BF12FB">
        <w:t>Waivers); materials and supplies provided by the prison, jail, or education institution; or computer or IT support and materials provided by the prison, jail, or education institution.</w:t>
      </w:r>
      <w:r w:rsidR="008B01E3">
        <w:t xml:space="preserve"> </w:t>
      </w:r>
    </w:p>
    <w:p w14:paraId="50B5A2D2" w14:textId="77777777" w:rsidR="00BF12FB" w:rsidRDefault="00BF12FB" w:rsidP="00BF12FB">
      <w:pPr>
        <w:spacing w:after="0" w:line="240" w:lineRule="auto"/>
        <w:ind w:left="720"/>
      </w:pPr>
    </w:p>
    <w:p w14:paraId="633437D1" w14:textId="7368804D" w:rsidR="00BF12FB" w:rsidRPr="00EC0C55" w:rsidRDefault="00BF12FB" w:rsidP="00BF12FB">
      <w:pPr>
        <w:spacing w:after="0" w:line="240" w:lineRule="auto"/>
        <w:ind w:left="720"/>
      </w:pPr>
      <w:r>
        <w:t>The remaining amount of the public match must be cash or repurposed spending such as dedicated staffing.</w:t>
      </w:r>
      <w:r w:rsidR="00732B64">
        <w:t xml:space="preserve"> Staffing cannot be counted as a match if the contribution would be within the person’s normal job duties. For example, a financial aid counselor who provides assistance to all students, whether formerly incarcerated or not, could not be considered part of the match for the portion of the time the person spends counseling formerly incarcerated students. </w:t>
      </w:r>
      <w:r w:rsidR="00526B1C">
        <w:t xml:space="preserve"> However, a career counsel</w:t>
      </w:r>
      <w:r w:rsidR="00A775F6">
        <w:t>or</w:t>
      </w:r>
      <w:r w:rsidR="00526B1C">
        <w:t xml:space="preserve"> who develops expertise in the challenges faced by formerly incarcerated students</w:t>
      </w:r>
      <w:r w:rsidR="00A775F6">
        <w:t xml:space="preserve"> and dedicate</w:t>
      </w:r>
      <w:r w:rsidR="00526B1C">
        <w:t>s a significant portion of his or her time to the applicant’s program</w:t>
      </w:r>
      <w:r w:rsidR="00A775F6">
        <w:t xml:space="preserve"> </w:t>
      </w:r>
      <w:r w:rsidR="00526B1C">
        <w:t xml:space="preserve">could </w:t>
      </w:r>
      <w:r w:rsidR="00012201">
        <w:t>have that portion of his or her</w:t>
      </w:r>
      <w:r w:rsidR="00A775F6">
        <w:t xml:space="preserve"> salary</w:t>
      </w:r>
      <w:r w:rsidR="00526B1C">
        <w:t xml:space="preserve"> count.</w:t>
      </w:r>
    </w:p>
    <w:p w14:paraId="654E2B7C" w14:textId="77777777" w:rsidR="00BF12FB" w:rsidRDefault="00BF12FB" w:rsidP="00BF12FB">
      <w:pPr>
        <w:spacing w:after="0" w:line="240" w:lineRule="auto"/>
        <w:rPr>
          <w:b/>
        </w:rPr>
      </w:pPr>
    </w:p>
    <w:p w14:paraId="02E716BB" w14:textId="77777777" w:rsidR="00BF12FB" w:rsidRPr="00285D83" w:rsidRDefault="00BF12FB" w:rsidP="00BF12FB">
      <w:pPr>
        <w:spacing w:after="0" w:line="240" w:lineRule="auto"/>
        <w:rPr>
          <w:b/>
        </w:rPr>
      </w:pPr>
      <w:r w:rsidRPr="00285D83">
        <w:rPr>
          <w:b/>
        </w:rPr>
        <w:t>When do the public match resources need to be available?</w:t>
      </w:r>
    </w:p>
    <w:p w14:paraId="765FBFE0" w14:textId="77777777" w:rsidR="00BF12FB" w:rsidRDefault="00BF12FB" w:rsidP="00BF12FB">
      <w:pPr>
        <w:spacing w:after="0" w:line="240" w:lineRule="auto"/>
        <w:ind w:left="720"/>
        <w:rPr>
          <w:b/>
        </w:rPr>
      </w:pPr>
      <w:r>
        <w:t xml:space="preserve">It is acceptable if the cash portion of the public match is not available to the applicant until </w:t>
      </w:r>
      <w:r>
        <w:rPr>
          <w:rStyle w:val="aqj"/>
        </w:rPr>
        <w:t>July 1, 2016</w:t>
      </w:r>
      <w:r>
        <w:t xml:space="preserve"> or the start of the applicant's next fiscal year.</w:t>
      </w:r>
    </w:p>
    <w:p w14:paraId="5250DA34" w14:textId="77777777" w:rsidR="00BF12FB" w:rsidRDefault="00BF12FB" w:rsidP="00BF12FB">
      <w:pPr>
        <w:spacing w:after="0" w:line="240" w:lineRule="auto"/>
        <w:rPr>
          <w:b/>
        </w:rPr>
      </w:pPr>
    </w:p>
    <w:p w14:paraId="02CFE7F8" w14:textId="77777777" w:rsidR="00BF12FB" w:rsidRDefault="00BF12FB" w:rsidP="00BF12FB">
      <w:pPr>
        <w:keepNext/>
        <w:spacing w:after="0" w:line="240" w:lineRule="auto"/>
        <w:rPr>
          <w:b/>
        </w:rPr>
      </w:pPr>
      <w:r w:rsidRPr="00711474">
        <w:rPr>
          <w:b/>
        </w:rPr>
        <w:t>Is there a limit on the Indirect Cost Rate?</w:t>
      </w:r>
    </w:p>
    <w:p w14:paraId="7D02B7DB" w14:textId="77777777" w:rsidR="00BF12FB" w:rsidRDefault="00BF12FB" w:rsidP="00BF12FB">
      <w:pPr>
        <w:spacing w:after="0" w:line="240" w:lineRule="auto"/>
        <w:ind w:left="720"/>
      </w:pPr>
      <w:r w:rsidRPr="00CD1B1A">
        <w:t xml:space="preserve">No application containing an indirect cost rate greater than </w:t>
      </w:r>
      <w:r>
        <w:t>10</w:t>
      </w:r>
      <w:r w:rsidR="00FF4EEE">
        <w:t>%</w:t>
      </w:r>
      <w:r w:rsidRPr="00CD1B1A">
        <w:t xml:space="preserve"> will be permitted, and applicants are encouraged to submit applications with the lowest indirect cost rate possible. </w:t>
      </w:r>
    </w:p>
    <w:p w14:paraId="6C54578D" w14:textId="77777777" w:rsidR="00BF12FB" w:rsidRDefault="00BF12FB" w:rsidP="00BF12FB">
      <w:pPr>
        <w:spacing w:after="0" w:line="240" w:lineRule="auto"/>
        <w:rPr>
          <w:b/>
        </w:rPr>
      </w:pPr>
    </w:p>
    <w:p w14:paraId="7AAFAAE3" w14:textId="77777777" w:rsidR="00BF12FB" w:rsidRDefault="00BF12FB" w:rsidP="00BF12FB">
      <w:pPr>
        <w:spacing w:after="0" w:line="240" w:lineRule="auto"/>
        <w:rPr>
          <w:b/>
        </w:rPr>
      </w:pPr>
      <w:r>
        <w:rPr>
          <w:b/>
        </w:rPr>
        <w:t>I had heard this was a three-year program. Why does the grant period cover only one year?</w:t>
      </w:r>
    </w:p>
    <w:p w14:paraId="403BD19B" w14:textId="77777777" w:rsidR="00BF12FB" w:rsidRPr="00711474" w:rsidRDefault="00BF12FB" w:rsidP="00BF12FB">
      <w:pPr>
        <w:spacing w:after="0" w:line="240" w:lineRule="auto"/>
        <w:ind w:left="720"/>
      </w:pPr>
      <w:r>
        <w:t xml:space="preserve">Renewing Communities is a three-year initiative, and we expect </w:t>
      </w:r>
      <w:r w:rsidR="009053D1">
        <w:t>contracts</w:t>
      </w:r>
      <w:r>
        <w:t xml:space="preserve"> to be renew</w:t>
      </w:r>
      <w:r w:rsidR="009053D1">
        <w:t>ed</w:t>
      </w:r>
      <w:r>
        <w:t xml:space="preserve"> at the end of the one-year grant term. </w:t>
      </w:r>
      <w:r w:rsidR="00A72BEF">
        <w:t>Renewal</w:t>
      </w:r>
      <w:r>
        <w:t xml:space="preserve"> is not guaranteed</w:t>
      </w:r>
      <w:r w:rsidR="009053D1">
        <w:t xml:space="preserve"> and will be subject in part to performance and implementation reviews conducted during year one.</w:t>
      </w:r>
    </w:p>
    <w:p w14:paraId="51E50CFC" w14:textId="77777777" w:rsidR="00B205A4" w:rsidRDefault="00B205A4" w:rsidP="00BF12FB">
      <w:pPr>
        <w:spacing w:after="0"/>
        <w:rPr>
          <w:b/>
        </w:rPr>
      </w:pPr>
    </w:p>
    <w:sectPr w:rsidR="00B205A4" w:rsidSect="00B9579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9C819" w14:textId="77777777" w:rsidR="00F153AB" w:rsidRDefault="00F153AB" w:rsidP="001619C5">
      <w:pPr>
        <w:spacing w:after="0" w:line="240" w:lineRule="auto"/>
      </w:pPr>
      <w:r>
        <w:separator/>
      </w:r>
    </w:p>
  </w:endnote>
  <w:endnote w:type="continuationSeparator" w:id="0">
    <w:p w14:paraId="5C665FE3" w14:textId="77777777" w:rsidR="00F153AB" w:rsidRDefault="00F153AB" w:rsidP="0016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Fira Sans OT">
    <w:charset w:val="00"/>
    <w:family w:val="auto"/>
    <w:pitch w:val="variable"/>
    <w:sig w:usb0="00000287" w:usb1="02000001" w:usb2="00000000" w:usb3="00000000" w:csb0="000000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359140"/>
      <w:docPartObj>
        <w:docPartGallery w:val="Page Numbers (Bottom of Page)"/>
        <w:docPartUnique/>
      </w:docPartObj>
    </w:sdtPr>
    <w:sdtEndPr>
      <w:rPr>
        <w:noProof/>
      </w:rPr>
    </w:sdtEndPr>
    <w:sdtContent>
      <w:p w14:paraId="6E2CB274" w14:textId="77777777" w:rsidR="009A77DD" w:rsidRDefault="009A77DD">
        <w:pPr>
          <w:pStyle w:val="Footer"/>
          <w:jc w:val="center"/>
        </w:pPr>
        <w:r>
          <w:fldChar w:fldCharType="begin"/>
        </w:r>
        <w:r>
          <w:instrText xml:space="preserve"> PAGE   \* MERGEFORMAT </w:instrText>
        </w:r>
        <w:r>
          <w:fldChar w:fldCharType="separate"/>
        </w:r>
        <w:r w:rsidR="00CB4C0E">
          <w:rPr>
            <w:noProof/>
          </w:rPr>
          <w:t>2</w:t>
        </w:r>
        <w:r>
          <w:rPr>
            <w:noProof/>
          </w:rPr>
          <w:fldChar w:fldCharType="end"/>
        </w:r>
      </w:p>
    </w:sdtContent>
  </w:sdt>
  <w:p w14:paraId="43C6EFB8" w14:textId="77777777" w:rsidR="009A77DD" w:rsidRDefault="009A77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5AAFB" w14:textId="2AA0A7C6" w:rsidR="009A77DD" w:rsidRDefault="009A77DD" w:rsidP="00B80788">
    <w:pPr>
      <w:pStyle w:val="Footer"/>
    </w:pPr>
    <w:r>
      <w:rPr>
        <w:noProof/>
      </w:rPr>
      <w:drawing>
        <wp:inline distT="0" distB="0" distL="0" distR="0" wp14:anchorId="7051157E" wp14:editId="6B4975BC">
          <wp:extent cx="5943600" cy="36195"/>
          <wp:effectExtent l="0" t="0" r="0" b="0"/>
          <wp:docPr id="1" name="Picture 1" descr="/Users/cklby/Desktop/line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Users/cklby/Desktop/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6195"/>
                  </a:xfrm>
                  <a:prstGeom prst="rect">
                    <a:avLst/>
                  </a:prstGeom>
                  <a:noFill/>
                  <a:ln>
                    <a:noFill/>
                  </a:ln>
                </pic:spPr>
              </pic:pic>
            </a:graphicData>
          </a:graphic>
        </wp:inline>
      </w:drawing>
    </w:r>
  </w:p>
  <w:p w14:paraId="11E22D6F" w14:textId="437CCC47" w:rsidR="009A77DD" w:rsidRDefault="009A77DD" w:rsidP="00B80788">
    <w:pPr>
      <w:pStyle w:val="Footer"/>
      <w:jc w:val="right"/>
    </w:pPr>
    <w:r>
      <w:rPr>
        <w:noProof/>
      </w:rPr>
      <w:drawing>
        <wp:inline distT="0" distB="0" distL="0" distR="0" wp14:anchorId="54519751" wp14:editId="5926E06E">
          <wp:extent cx="1896745" cy="131508"/>
          <wp:effectExtent l="0" t="0" r="8255" b="0"/>
          <wp:docPr id="15" name="Picture 15" descr="/Users/cklby/Desktop/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klby/Desktop/ur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7452" cy="135717"/>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864E0" w14:textId="77777777" w:rsidR="009A77DD" w:rsidRDefault="009A77DD" w:rsidP="00BF12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52A656" w14:textId="77777777" w:rsidR="009A77DD" w:rsidRDefault="009A77DD">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FF65C" w14:textId="77777777" w:rsidR="009A77DD" w:rsidRDefault="009A77DD" w:rsidP="00BF12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7E4C">
      <w:rPr>
        <w:rStyle w:val="PageNumber"/>
        <w:noProof/>
      </w:rPr>
      <w:t>26</w:t>
    </w:r>
    <w:r>
      <w:rPr>
        <w:rStyle w:val="PageNumber"/>
      </w:rPr>
      <w:fldChar w:fldCharType="end"/>
    </w:r>
  </w:p>
  <w:p w14:paraId="748AEC5A" w14:textId="77777777" w:rsidR="009A77DD" w:rsidRDefault="009A77DD">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DFD56" w14:textId="77777777" w:rsidR="009A77DD" w:rsidRDefault="009A77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D6B9B" w14:textId="77777777" w:rsidR="00F153AB" w:rsidRDefault="00F153AB" w:rsidP="001619C5">
      <w:pPr>
        <w:spacing w:after="0" w:line="240" w:lineRule="auto"/>
      </w:pPr>
      <w:r>
        <w:separator/>
      </w:r>
    </w:p>
  </w:footnote>
  <w:footnote w:type="continuationSeparator" w:id="0">
    <w:p w14:paraId="03A56508" w14:textId="77777777" w:rsidR="00F153AB" w:rsidRDefault="00F153AB" w:rsidP="001619C5">
      <w:pPr>
        <w:spacing w:after="0" w:line="240" w:lineRule="auto"/>
      </w:pPr>
      <w:r>
        <w:continuationSeparator/>
      </w:r>
    </w:p>
  </w:footnote>
  <w:footnote w:id="1">
    <w:p w14:paraId="26E3B906" w14:textId="119185DD" w:rsidR="00B77948" w:rsidRDefault="00B77948">
      <w:pPr>
        <w:pStyle w:val="FootnoteText"/>
      </w:pPr>
      <w:r>
        <w:rPr>
          <w:rStyle w:val="FootnoteReference"/>
        </w:rPr>
        <w:footnoteRef/>
      </w:r>
      <w:r>
        <w:t xml:space="preserve"> </w:t>
      </w:r>
      <w:r w:rsidRPr="00B77948">
        <w:t>Jail-based programs may propose in-custody education that is not credit-bearing, so long as there is a link to continued high-quality education in the community. See the FAQs for further clarification.</w:t>
      </w:r>
    </w:p>
  </w:footnote>
  <w:footnote w:id="2">
    <w:p w14:paraId="7DA86645" w14:textId="77777777" w:rsidR="009A77DD" w:rsidRDefault="009A77DD">
      <w:pPr>
        <w:pStyle w:val="FootnoteText"/>
      </w:pPr>
      <w:r w:rsidRPr="0083619B">
        <w:rPr>
          <w:rStyle w:val="FootnoteReference"/>
        </w:rPr>
        <w:footnoteRef/>
      </w:r>
      <w:r w:rsidRPr="0083619B">
        <w:t xml:space="preserve"> Distance education is strongly discouraged and will require a </w:t>
      </w:r>
      <w:r>
        <w:t>compelling</w:t>
      </w:r>
      <w:r w:rsidRPr="0083619B">
        <w:t xml:space="preserve"> showing of need.</w:t>
      </w:r>
      <w:r>
        <w:t xml:space="preserve"> </w:t>
      </w:r>
    </w:p>
  </w:footnote>
  <w:footnote w:id="3">
    <w:p w14:paraId="40684E6A" w14:textId="1454F2F9" w:rsidR="009A77DD" w:rsidRPr="006F743B" w:rsidRDefault="009A77DD">
      <w:pPr>
        <w:pStyle w:val="FootnoteText"/>
        <w:rPr>
          <w:sz w:val="22"/>
          <w:szCs w:val="22"/>
        </w:rPr>
      </w:pPr>
      <w:r w:rsidRPr="0013784B">
        <w:rPr>
          <w:rStyle w:val="FootnoteReference"/>
          <w:sz w:val="22"/>
          <w:szCs w:val="22"/>
        </w:rPr>
        <w:footnoteRef/>
      </w:r>
      <w:r w:rsidRPr="0013784B">
        <w:rPr>
          <w:sz w:val="22"/>
          <w:szCs w:val="22"/>
        </w:rPr>
        <w:t xml:space="preserve"> Each partner receiving a subcontract must submit </w:t>
      </w:r>
      <w:r>
        <w:rPr>
          <w:sz w:val="22"/>
          <w:szCs w:val="22"/>
        </w:rPr>
        <w:t>its</w:t>
      </w:r>
      <w:r w:rsidRPr="0013784B">
        <w:rPr>
          <w:sz w:val="22"/>
          <w:szCs w:val="22"/>
        </w:rPr>
        <w:t xml:space="preserve"> own budget and budget narrative addressing the </w:t>
      </w:r>
      <w:r>
        <w:rPr>
          <w:sz w:val="22"/>
          <w:szCs w:val="22"/>
        </w:rPr>
        <w:t>cash expenses</w:t>
      </w:r>
      <w:r w:rsidRPr="0013784B">
        <w:rPr>
          <w:sz w:val="22"/>
          <w:szCs w:val="22"/>
        </w:rPr>
        <w:t xml:space="preserve"> for the full amount of the subcontract. Only the applicant should complete the section on matching expenses above; subcontractors should</w:t>
      </w:r>
      <w:r>
        <w:rPr>
          <w:sz w:val="22"/>
          <w:szCs w:val="22"/>
        </w:rPr>
        <w:t xml:space="preserve"> only</w:t>
      </w:r>
      <w:r w:rsidRPr="0013784B">
        <w:rPr>
          <w:sz w:val="22"/>
          <w:szCs w:val="22"/>
        </w:rPr>
        <w:t xml:space="preserve"> complete the “cash expenses” section.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8BEDF" w14:textId="77777777" w:rsidR="009A77DD" w:rsidRDefault="009A77DD" w:rsidP="00A730E1">
    <w:pPr>
      <w:pStyle w:val="Header"/>
    </w:pPr>
    <w:r>
      <w:rPr>
        <w:noProof/>
      </w:rPr>
      <w:drawing>
        <wp:inline distT="0" distB="0" distL="0" distR="0" wp14:anchorId="49EBAF9F" wp14:editId="536458AF">
          <wp:extent cx="3366135" cy="422102"/>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 + RC Lockup Vector.eps"/>
                  <pic:cNvPicPr/>
                </pic:nvPicPr>
                <pic:blipFill>
                  <a:blip r:embed="rId1">
                    <a:extLst>
                      <a:ext uri="{28A0092B-C50C-407E-A947-70E740481C1C}">
                        <a14:useLocalDpi xmlns:a14="http://schemas.microsoft.com/office/drawing/2010/main" val="0"/>
                      </a:ext>
                    </a:extLst>
                  </a:blip>
                  <a:stretch>
                    <a:fillRect/>
                  </a:stretch>
                </pic:blipFill>
                <pic:spPr>
                  <a:xfrm>
                    <a:off x="0" y="0"/>
                    <a:ext cx="3437076" cy="430998"/>
                  </a:xfrm>
                  <a:prstGeom prst="rect">
                    <a:avLst/>
                  </a:prstGeom>
                </pic:spPr>
              </pic:pic>
            </a:graphicData>
          </a:graphic>
        </wp:inline>
      </w:drawing>
    </w:r>
  </w:p>
  <w:p w14:paraId="233F2E9B" w14:textId="77777777" w:rsidR="009A77DD" w:rsidRDefault="009A77DD" w:rsidP="00A730E1">
    <w:pPr>
      <w:pStyle w:val="Header"/>
    </w:pPr>
    <w:r>
      <w:rPr>
        <w:noProof/>
      </w:rPr>
      <w:drawing>
        <wp:inline distT="0" distB="0" distL="0" distR="0" wp14:anchorId="072FE56B" wp14:editId="1FA8408C">
          <wp:extent cx="5943600" cy="36576"/>
          <wp:effectExtent l="0" t="0" r="0" b="0"/>
          <wp:docPr id="3" name="Picture 3" descr="/Users/cklby/Desktop/line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Users/cklby/Desktop/lin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36576"/>
                  </a:xfrm>
                  <a:prstGeom prst="rect">
                    <a:avLst/>
                  </a:prstGeom>
                  <a:noFill/>
                  <a:ln>
                    <a:noFill/>
                  </a:ln>
                </pic:spPr>
              </pic:pic>
            </a:graphicData>
          </a:graphic>
        </wp:inline>
      </w:drawing>
    </w:r>
  </w:p>
  <w:p w14:paraId="71CFA9BD" w14:textId="77777777" w:rsidR="009A77DD" w:rsidRDefault="009A77D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8047C" w14:textId="77777777" w:rsidR="009A77DD" w:rsidRDefault="009A77D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52E53" w14:textId="381B51B2" w:rsidR="009A77DD" w:rsidRDefault="009E4287" w:rsidP="009E4287">
    <w:pPr>
      <w:pStyle w:val="Header"/>
      <w:tabs>
        <w:tab w:val="clear" w:pos="4680"/>
        <w:tab w:val="clear" w:pos="9360"/>
        <w:tab w:val="left" w:pos="3995"/>
      </w:tabs>
    </w:pPr>
    <w:r>
      <w:tab/>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69A10" w14:textId="77777777" w:rsidR="009A77DD" w:rsidRDefault="009A77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21A5793"/>
    <w:multiLevelType w:val="hybridMultilevel"/>
    <w:tmpl w:val="0B8B6D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E5DDD1"/>
    <w:multiLevelType w:val="hybridMultilevel"/>
    <w:tmpl w:val="5B1F64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E234BD3"/>
    <w:multiLevelType w:val="hybridMultilevel"/>
    <w:tmpl w:val="C6EE6A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165396"/>
    <w:multiLevelType w:val="hybridMultilevel"/>
    <w:tmpl w:val="53AC5A18"/>
    <w:lvl w:ilvl="0" w:tplc="0409000F">
      <w:start w:val="1"/>
      <w:numFmt w:val="decimal"/>
      <w:lvlText w:val="%1."/>
      <w:lvlJc w:val="left"/>
      <w:pPr>
        <w:ind w:left="720" w:hanging="360"/>
      </w:pPr>
      <w:rPr>
        <w:rFonts w:hint="default"/>
      </w:rPr>
    </w:lvl>
    <w:lvl w:ilvl="1" w:tplc="BA8C2FE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E48EC732">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D5D1E"/>
    <w:multiLevelType w:val="hybridMultilevel"/>
    <w:tmpl w:val="125A4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6152B"/>
    <w:multiLevelType w:val="hybridMultilevel"/>
    <w:tmpl w:val="96582B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29473B"/>
    <w:multiLevelType w:val="hybridMultilevel"/>
    <w:tmpl w:val="92766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310C0F50">
      <w:numFmt w:val="bullet"/>
      <w:lvlText w:val="•"/>
      <w:lvlJc w:val="left"/>
      <w:pPr>
        <w:ind w:left="2520" w:hanging="720"/>
      </w:pPr>
      <w:rPr>
        <w:rFonts w:ascii="Cambria" w:eastAsiaTheme="minorEastAsia" w:hAnsi="Cambria"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312F73"/>
    <w:multiLevelType w:val="hybridMultilevel"/>
    <w:tmpl w:val="53AC5A18"/>
    <w:lvl w:ilvl="0" w:tplc="0409000F">
      <w:start w:val="1"/>
      <w:numFmt w:val="decimal"/>
      <w:lvlText w:val="%1."/>
      <w:lvlJc w:val="left"/>
      <w:pPr>
        <w:ind w:left="720" w:hanging="360"/>
      </w:pPr>
      <w:rPr>
        <w:rFonts w:hint="default"/>
      </w:rPr>
    </w:lvl>
    <w:lvl w:ilvl="1" w:tplc="BA8C2FE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E48EC732">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83020"/>
    <w:multiLevelType w:val="hybridMultilevel"/>
    <w:tmpl w:val="53AC5A18"/>
    <w:lvl w:ilvl="0" w:tplc="0409000F">
      <w:start w:val="1"/>
      <w:numFmt w:val="decimal"/>
      <w:lvlText w:val="%1."/>
      <w:lvlJc w:val="left"/>
      <w:pPr>
        <w:ind w:left="720" w:hanging="360"/>
      </w:pPr>
      <w:rPr>
        <w:rFonts w:hint="default"/>
      </w:rPr>
    </w:lvl>
    <w:lvl w:ilvl="1" w:tplc="BA8C2FE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E48EC732">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2E6C8"/>
    <w:multiLevelType w:val="hybridMultilevel"/>
    <w:tmpl w:val="F99495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74B2FDE"/>
    <w:multiLevelType w:val="hybridMultilevel"/>
    <w:tmpl w:val="53AC5A18"/>
    <w:lvl w:ilvl="0" w:tplc="0409000F">
      <w:start w:val="1"/>
      <w:numFmt w:val="decimal"/>
      <w:lvlText w:val="%1."/>
      <w:lvlJc w:val="left"/>
      <w:pPr>
        <w:ind w:left="360" w:hanging="360"/>
      </w:pPr>
      <w:rPr>
        <w:rFonts w:hint="default"/>
      </w:rPr>
    </w:lvl>
    <w:lvl w:ilvl="1" w:tplc="BA8C2FE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E48EC732">
      <w:start w:val="1"/>
      <w:numFmt w:val="decimal"/>
      <w:lvlText w:val="%4."/>
      <w:lvlJc w:val="left"/>
      <w:pPr>
        <w:ind w:left="2520" w:hanging="360"/>
      </w:pPr>
      <w:rPr>
        <w:b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6E3674"/>
    <w:multiLevelType w:val="hybridMultilevel"/>
    <w:tmpl w:val="73EEE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8F73F5"/>
    <w:multiLevelType w:val="hybridMultilevel"/>
    <w:tmpl w:val="53AC5A18"/>
    <w:lvl w:ilvl="0" w:tplc="0409000F">
      <w:start w:val="1"/>
      <w:numFmt w:val="decimal"/>
      <w:lvlText w:val="%1."/>
      <w:lvlJc w:val="left"/>
      <w:pPr>
        <w:ind w:left="720" w:hanging="360"/>
      </w:pPr>
      <w:rPr>
        <w:rFonts w:hint="default"/>
      </w:rPr>
    </w:lvl>
    <w:lvl w:ilvl="1" w:tplc="BA8C2FE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E48EC732">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265694"/>
    <w:multiLevelType w:val="hybridMultilevel"/>
    <w:tmpl w:val="53AC5A18"/>
    <w:lvl w:ilvl="0" w:tplc="0409000F">
      <w:start w:val="1"/>
      <w:numFmt w:val="decimal"/>
      <w:lvlText w:val="%1."/>
      <w:lvlJc w:val="left"/>
      <w:pPr>
        <w:ind w:left="360" w:hanging="360"/>
      </w:pPr>
      <w:rPr>
        <w:rFonts w:hint="default"/>
      </w:rPr>
    </w:lvl>
    <w:lvl w:ilvl="1" w:tplc="BA8C2FE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E48EC732">
      <w:start w:val="1"/>
      <w:numFmt w:val="decimal"/>
      <w:lvlText w:val="%4."/>
      <w:lvlJc w:val="left"/>
      <w:pPr>
        <w:ind w:left="2520" w:hanging="360"/>
      </w:pPr>
      <w:rPr>
        <w:b w:val="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320871"/>
    <w:multiLevelType w:val="hybridMultilevel"/>
    <w:tmpl w:val="18584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4E420F"/>
    <w:multiLevelType w:val="hybridMultilevel"/>
    <w:tmpl w:val="A76C4C24"/>
    <w:lvl w:ilvl="0" w:tplc="398C38A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8C2BF2"/>
    <w:multiLevelType w:val="hybridMultilevel"/>
    <w:tmpl w:val="2B6C26F0"/>
    <w:lvl w:ilvl="0" w:tplc="BA8C2FE4">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AA163C"/>
    <w:multiLevelType w:val="hybridMultilevel"/>
    <w:tmpl w:val="40069376"/>
    <w:lvl w:ilvl="0" w:tplc="93F81E8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034FAD"/>
    <w:multiLevelType w:val="hybridMultilevel"/>
    <w:tmpl w:val="A704E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BE4EC1"/>
    <w:multiLevelType w:val="hybridMultilevel"/>
    <w:tmpl w:val="B0D2E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2357FB"/>
    <w:multiLevelType w:val="hybridMultilevel"/>
    <w:tmpl w:val="EF9253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DC53E8"/>
    <w:multiLevelType w:val="hybridMultilevel"/>
    <w:tmpl w:val="6264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BF4777"/>
    <w:multiLevelType w:val="hybridMultilevel"/>
    <w:tmpl w:val="A548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E70C92"/>
    <w:multiLevelType w:val="hybridMultilevel"/>
    <w:tmpl w:val="D8DAA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023D52"/>
    <w:multiLevelType w:val="hybridMultilevel"/>
    <w:tmpl w:val="4D981EAC"/>
    <w:lvl w:ilvl="0" w:tplc="0409000F">
      <w:start w:val="1"/>
      <w:numFmt w:val="decimal"/>
      <w:lvlText w:val="%1."/>
      <w:lvlJc w:val="left"/>
      <w:pPr>
        <w:ind w:left="720" w:hanging="360"/>
      </w:pPr>
      <w:rPr>
        <w:rFonts w:hint="default"/>
      </w:rPr>
    </w:lvl>
    <w:lvl w:ilvl="1" w:tplc="BA8C2FE4">
      <w:start w:val="1"/>
      <w:numFmt w:val="lowerLetter"/>
      <w:lvlText w:val="%2."/>
      <w:lvlJc w:val="left"/>
      <w:pPr>
        <w:ind w:left="1440" w:hanging="360"/>
      </w:pPr>
      <w:rPr>
        <w:b w:val="0"/>
      </w:rPr>
    </w:lvl>
    <w:lvl w:ilvl="2" w:tplc="0409000F">
      <w:start w:val="1"/>
      <w:numFmt w:val="decimal"/>
      <w:lvlText w:val="%3."/>
      <w:lvlJc w:val="left"/>
      <w:pPr>
        <w:ind w:left="2160" w:hanging="180"/>
      </w:pPr>
    </w:lvl>
    <w:lvl w:ilvl="3" w:tplc="E48EC732">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5A2293"/>
    <w:multiLevelType w:val="hybridMultilevel"/>
    <w:tmpl w:val="DC9E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201341"/>
    <w:multiLevelType w:val="hybridMultilevel"/>
    <w:tmpl w:val="459D77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92F0999"/>
    <w:multiLevelType w:val="hybridMultilevel"/>
    <w:tmpl w:val="53AC5A18"/>
    <w:lvl w:ilvl="0" w:tplc="0409000F">
      <w:start w:val="1"/>
      <w:numFmt w:val="decimal"/>
      <w:lvlText w:val="%1."/>
      <w:lvlJc w:val="left"/>
      <w:pPr>
        <w:ind w:left="720" w:hanging="360"/>
      </w:pPr>
      <w:rPr>
        <w:rFonts w:hint="default"/>
      </w:rPr>
    </w:lvl>
    <w:lvl w:ilvl="1" w:tplc="BA8C2FE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E48EC732">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8B79BF"/>
    <w:multiLevelType w:val="hybridMultilevel"/>
    <w:tmpl w:val="1632D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704AAA"/>
    <w:multiLevelType w:val="hybridMultilevel"/>
    <w:tmpl w:val="53AC5A18"/>
    <w:lvl w:ilvl="0" w:tplc="0409000F">
      <w:start w:val="1"/>
      <w:numFmt w:val="decimal"/>
      <w:lvlText w:val="%1."/>
      <w:lvlJc w:val="left"/>
      <w:pPr>
        <w:ind w:left="720" w:hanging="360"/>
      </w:pPr>
      <w:rPr>
        <w:rFonts w:hint="default"/>
      </w:rPr>
    </w:lvl>
    <w:lvl w:ilvl="1" w:tplc="BA8C2FE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E48EC732">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1"/>
  </w:num>
  <w:num w:numId="3">
    <w:abstractNumId w:val="12"/>
  </w:num>
  <w:num w:numId="4">
    <w:abstractNumId w:val="27"/>
  </w:num>
  <w:num w:numId="5">
    <w:abstractNumId w:val="10"/>
  </w:num>
  <w:num w:numId="6">
    <w:abstractNumId w:val="3"/>
  </w:num>
  <w:num w:numId="7">
    <w:abstractNumId w:val="8"/>
  </w:num>
  <w:num w:numId="8">
    <w:abstractNumId w:val="2"/>
  </w:num>
  <w:num w:numId="9">
    <w:abstractNumId w:val="9"/>
  </w:num>
  <w:num w:numId="10">
    <w:abstractNumId w:val="26"/>
  </w:num>
  <w:num w:numId="11">
    <w:abstractNumId w:val="1"/>
  </w:num>
  <w:num w:numId="12">
    <w:abstractNumId w:val="0"/>
  </w:num>
  <w:num w:numId="13">
    <w:abstractNumId w:val="21"/>
  </w:num>
  <w:num w:numId="14">
    <w:abstractNumId w:val="24"/>
  </w:num>
  <w:num w:numId="15">
    <w:abstractNumId w:val="4"/>
  </w:num>
  <w:num w:numId="16">
    <w:abstractNumId w:val="14"/>
  </w:num>
  <w:num w:numId="17">
    <w:abstractNumId w:val="18"/>
  </w:num>
  <w:num w:numId="18">
    <w:abstractNumId w:val="13"/>
  </w:num>
  <w:num w:numId="19">
    <w:abstractNumId w:val="7"/>
  </w:num>
  <w:num w:numId="20">
    <w:abstractNumId w:val="25"/>
  </w:num>
  <w:num w:numId="21">
    <w:abstractNumId w:val="16"/>
  </w:num>
  <w:num w:numId="22">
    <w:abstractNumId w:val="5"/>
  </w:num>
  <w:num w:numId="23">
    <w:abstractNumId w:val="15"/>
  </w:num>
  <w:num w:numId="24">
    <w:abstractNumId w:val="19"/>
  </w:num>
  <w:num w:numId="25">
    <w:abstractNumId w:val="23"/>
  </w:num>
  <w:num w:numId="26">
    <w:abstractNumId w:val="17"/>
  </w:num>
  <w:num w:numId="27">
    <w:abstractNumId w:val="20"/>
  </w:num>
  <w:num w:numId="28">
    <w:abstractNumId w:val="6"/>
  </w:num>
  <w:num w:numId="29">
    <w:abstractNumId w:val="2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080"/>
    <w:rsid w:val="00004261"/>
    <w:rsid w:val="00004937"/>
    <w:rsid w:val="00007993"/>
    <w:rsid w:val="00007E4C"/>
    <w:rsid w:val="000116CC"/>
    <w:rsid w:val="00012201"/>
    <w:rsid w:val="00015933"/>
    <w:rsid w:val="000162CD"/>
    <w:rsid w:val="00020935"/>
    <w:rsid w:val="00021CAC"/>
    <w:rsid w:val="000229CA"/>
    <w:rsid w:val="00031EA4"/>
    <w:rsid w:val="00032F1F"/>
    <w:rsid w:val="00034D4F"/>
    <w:rsid w:val="00034F57"/>
    <w:rsid w:val="00036A8A"/>
    <w:rsid w:val="00040D95"/>
    <w:rsid w:val="000455C6"/>
    <w:rsid w:val="00051046"/>
    <w:rsid w:val="00054799"/>
    <w:rsid w:val="00054C03"/>
    <w:rsid w:val="00056078"/>
    <w:rsid w:val="00056FDE"/>
    <w:rsid w:val="00062CD9"/>
    <w:rsid w:val="00064F42"/>
    <w:rsid w:val="000654DF"/>
    <w:rsid w:val="0007737E"/>
    <w:rsid w:val="0008187C"/>
    <w:rsid w:val="00087CE5"/>
    <w:rsid w:val="00087DEB"/>
    <w:rsid w:val="000903BD"/>
    <w:rsid w:val="00090A50"/>
    <w:rsid w:val="00090FCC"/>
    <w:rsid w:val="00092660"/>
    <w:rsid w:val="000961D6"/>
    <w:rsid w:val="0009734A"/>
    <w:rsid w:val="00097C18"/>
    <w:rsid w:val="000A01E0"/>
    <w:rsid w:val="000A0A0D"/>
    <w:rsid w:val="000A0F9C"/>
    <w:rsid w:val="000A2A71"/>
    <w:rsid w:val="000A2BCD"/>
    <w:rsid w:val="000A35F4"/>
    <w:rsid w:val="000A3954"/>
    <w:rsid w:val="000A49ED"/>
    <w:rsid w:val="000A511B"/>
    <w:rsid w:val="000A5458"/>
    <w:rsid w:val="000A5A41"/>
    <w:rsid w:val="000B0213"/>
    <w:rsid w:val="000B04DB"/>
    <w:rsid w:val="000B0D5E"/>
    <w:rsid w:val="000B2188"/>
    <w:rsid w:val="000B4B65"/>
    <w:rsid w:val="000B53BC"/>
    <w:rsid w:val="000C0404"/>
    <w:rsid w:val="000C1080"/>
    <w:rsid w:val="000C1416"/>
    <w:rsid w:val="000C2D4D"/>
    <w:rsid w:val="000C2FB7"/>
    <w:rsid w:val="000C4F0D"/>
    <w:rsid w:val="000C62D2"/>
    <w:rsid w:val="000D2A5A"/>
    <w:rsid w:val="000D4C5A"/>
    <w:rsid w:val="000D50B5"/>
    <w:rsid w:val="000E2ECA"/>
    <w:rsid w:val="000F0981"/>
    <w:rsid w:val="000F27EC"/>
    <w:rsid w:val="000F435C"/>
    <w:rsid w:val="000F7775"/>
    <w:rsid w:val="00106CF1"/>
    <w:rsid w:val="00107EA1"/>
    <w:rsid w:val="00112FCF"/>
    <w:rsid w:val="00125225"/>
    <w:rsid w:val="001266C0"/>
    <w:rsid w:val="00131323"/>
    <w:rsid w:val="00131981"/>
    <w:rsid w:val="00131FAF"/>
    <w:rsid w:val="001326C0"/>
    <w:rsid w:val="001347E9"/>
    <w:rsid w:val="001370B8"/>
    <w:rsid w:val="0013784B"/>
    <w:rsid w:val="00143FF6"/>
    <w:rsid w:val="00145FB2"/>
    <w:rsid w:val="001509A8"/>
    <w:rsid w:val="00150A98"/>
    <w:rsid w:val="00152653"/>
    <w:rsid w:val="00152C98"/>
    <w:rsid w:val="001619C5"/>
    <w:rsid w:val="0016684E"/>
    <w:rsid w:val="00167FC7"/>
    <w:rsid w:val="00170105"/>
    <w:rsid w:val="00172252"/>
    <w:rsid w:val="00172E96"/>
    <w:rsid w:val="0017514C"/>
    <w:rsid w:val="00181608"/>
    <w:rsid w:val="00183DA9"/>
    <w:rsid w:val="00186F94"/>
    <w:rsid w:val="0019317D"/>
    <w:rsid w:val="0019638D"/>
    <w:rsid w:val="00197299"/>
    <w:rsid w:val="001978F6"/>
    <w:rsid w:val="001A07C7"/>
    <w:rsid w:val="001A2F41"/>
    <w:rsid w:val="001A4037"/>
    <w:rsid w:val="001A4F31"/>
    <w:rsid w:val="001B1AED"/>
    <w:rsid w:val="001B2C33"/>
    <w:rsid w:val="001B6F81"/>
    <w:rsid w:val="001B7DA1"/>
    <w:rsid w:val="001C0F55"/>
    <w:rsid w:val="001C17EF"/>
    <w:rsid w:val="001C5968"/>
    <w:rsid w:val="001C5CA2"/>
    <w:rsid w:val="001C5D32"/>
    <w:rsid w:val="001D5364"/>
    <w:rsid w:val="001D62AC"/>
    <w:rsid w:val="001D6616"/>
    <w:rsid w:val="001D7096"/>
    <w:rsid w:val="001D740E"/>
    <w:rsid w:val="001E0AB5"/>
    <w:rsid w:val="001E1AC6"/>
    <w:rsid w:val="001E5CD5"/>
    <w:rsid w:val="001E76B7"/>
    <w:rsid w:val="001E7E9D"/>
    <w:rsid w:val="001F633B"/>
    <w:rsid w:val="002039DF"/>
    <w:rsid w:val="00211F96"/>
    <w:rsid w:val="0021252A"/>
    <w:rsid w:val="00212712"/>
    <w:rsid w:val="00212DDE"/>
    <w:rsid w:val="002132F2"/>
    <w:rsid w:val="0021603B"/>
    <w:rsid w:val="00216BB8"/>
    <w:rsid w:val="00223B6E"/>
    <w:rsid w:val="00224403"/>
    <w:rsid w:val="0022574E"/>
    <w:rsid w:val="00225AC8"/>
    <w:rsid w:val="002268B1"/>
    <w:rsid w:val="00230224"/>
    <w:rsid w:val="00233643"/>
    <w:rsid w:val="00235459"/>
    <w:rsid w:val="002363A8"/>
    <w:rsid w:val="00240D02"/>
    <w:rsid w:val="00241913"/>
    <w:rsid w:val="00242244"/>
    <w:rsid w:val="00247282"/>
    <w:rsid w:val="002510C9"/>
    <w:rsid w:val="0026374E"/>
    <w:rsid w:val="00264729"/>
    <w:rsid w:val="00264E20"/>
    <w:rsid w:val="00271A02"/>
    <w:rsid w:val="0027553C"/>
    <w:rsid w:val="00280813"/>
    <w:rsid w:val="002819A9"/>
    <w:rsid w:val="0028306E"/>
    <w:rsid w:val="002837AA"/>
    <w:rsid w:val="00284488"/>
    <w:rsid w:val="00287363"/>
    <w:rsid w:val="002927F5"/>
    <w:rsid w:val="00295577"/>
    <w:rsid w:val="002A03B6"/>
    <w:rsid w:val="002A169C"/>
    <w:rsid w:val="002A3E9E"/>
    <w:rsid w:val="002B1B35"/>
    <w:rsid w:val="002B4029"/>
    <w:rsid w:val="002B4040"/>
    <w:rsid w:val="002B5901"/>
    <w:rsid w:val="002B6105"/>
    <w:rsid w:val="002C19DE"/>
    <w:rsid w:val="002C4EDE"/>
    <w:rsid w:val="002D02FD"/>
    <w:rsid w:val="002D1C28"/>
    <w:rsid w:val="002D389B"/>
    <w:rsid w:val="002D472C"/>
    <w:rsid w:val="002D66B4"/>
    <w:rsid w:val="002D69E9"/>
    <w:rsid w:val="002D75A9"/>
    <w:rsid w:val="002E7BED"/>
    <w:rsid w:val="002F016B"/>
    <w:rsid w:val="002F074B"/>
    <w:rsid w:val="002F0AD9"/>
    <w:rsid w:val="002F1764"/>
    <w:rsid w:val="002F2AFF"/>
    <w:rsid w:val="002F3F19"/>
    <w:rsid w:val="002F42EB"/>
    <w:rsid w:val="0030009B"/>
    <w:rsid w:val="00303006"/>
    <w:rsid w:val="0030401A"/>
    <w:rsid w:val="00304438"/>
    <w:rsid w:val="0030477E"/>
    <w:rsid w:val="00304B61"/>
    <w:rsid w:val="003069C2"/>
    <w:rsid w:val="003205C5"/>
    <w:rsid w:val="00323B60"/>
    <w:rsid w:val="003254D4"/>
    <w:rsid w:val="00326B64"/>
    <w:rsid w:val="00341684"/>
    <w:rsid w:val="0034453C"/>
    <w:rsid w:val="003512C1"/>
    <w:rsid w:val="00354128"/>
    <w:rsid w:val="00357F74"/>
    <w:rsid w:val="0036004B"/>
    <w:rsid w:val="0036674D"/>
    <w:rsid w:val="0037163C"/>
    <w:rsid w:val="00371C64"/>
    <w:rsid w:val="0037265F"/>
    <w:rsid w:val="003746B4"/>
    <w:rsid w:val="00374F7E"/>
    <w:rsid w:val="00375334"/>
    <w:rsid w:val="003841C0"/>
    <w:rsid w:val="00387249"/>
    <w:rsid w:val="00392AF2"/>
    <w:rsid w:val="0039479E"/>
    <w:rsid w:val="003956D1"/>
    <w:rsid w:val="00396111"/>
    <w:rsid w:val="00397BF4"/>
    <w:rsid w:val="003A1202"/>
    <w:rsid w:val="003A6A05"/>
    <w:rsid w:val="003B07FD"/>
    <w:rsid w:val="003B2B63"/>
    <w:rsid w:val="003B4E7A"/>
    <w:rsid w:val="003B6E36"/>
    <w:rsid w:val="003B71A2"/>
    <w:rsid w:val="003C1946"/>
    <w:rsid w:val="003C2962"/>
    <w:rsid w:val="003C37EA"/>
    <w:rsid w:val="003C5A76"/>
    <w:rsid w:val="003C6202"/>
    <w:rsid w:val="003C6A4E"/>
    <w:rsid w:val="003D1328"/>
    <w:rsid w:val="003D282B"/>
    <w:rsid w:val="003D3D75"/>
    <w:rsid w:val="003D43D9"/>
    <w:rsid w:val="003D4BF1"/>
    <w:rsid w:val="003D6B1F"/>
    <w:rsid w:val="003E217A"/>
    <w:rsid w:val="003E49D8"/>
    <w:rsid w:val="003E6CA6"/>
    <w:rsid w:val="003E7512"/>
    <w:rsid w:val="003E7AE2"/>
    <w:rsid w:val="003E7D46"/>
    <w:rsid w:val="003F04C6"/>
    <w:rsid w:val="003F2F89"/>
    <w:rsid w:val="003F47CF"/>
    <w:rsid w:val="003F4D0A"/>
    <w:rsid w:val="003F4D69"/>
    <w:rsid w:val="003F56AB"/>
    <w:rsid w:val="0041191B"/>
    <w:rsid w:val="00412488"/>
    <w:rsid w:val="00414426"/>
    <w:rsid w:val="004163E6"/>
    <w:rsid w:val="00416761"/>
    <w:rsid w:val="004174B0"/>
    <w:rsid w:val="0042471E"/>
    <w:rsid w:val="00424A4D"/>
    <w:rsid w:val="00426C2B"/>
    <w:rsid w:val="00432340"/>
    <w:rsid w:val="0043247F"/>
    <w:rsid w:val="00435726"/>
    <w:rsid w:val="00435926"/>
    <w:rsid w:val="00435F68"/>
    <w:rsid w:val="00443F8A"/>
    <w:rsid w:val="00444B87"/>
    <w:rsid w:val="00445A2B"/>
    <w:rsid w:val="00447BE1"/>
    <w:rsid w:val="00451B54"/>
    <w:rsid w:val="004528B3"/>
    <w:rsid w:val="00457392"/>
    <w:rsid w:val="00461869"/>
    <w:rsid w:val="004630A0"/>
    <w:rsid w:val="004667E9"/>
    <w:rsid w:val="00474257"/>
    <w:rsid w:val="00474A86"/>
    <w:rsid w:val="00474D17"/>
    <w:rsid w:val="00476443"/>
    <w:rsid w:val="0047690A"/>
    <w:rsid w:val="00477221"/>
    <w:rsid w:val="0047752C"/>
    <w:rsid w:val="004779F3"/>
    <w:rsid w:val="0048338E"/>
    <w:rsid w:val="004835D8"/>
    <w:rsid w:val="00485CFF"/>
    <w:rsid w:val="004861A3"/>
    <w:rsid w:val="004913E3"/>
    <w:rsid w:val="004917E0"/>
    <w:rsid w:val="00492097"/>
    <w:rsid w:val="004924D1"/>
    <w:rsid w:val="004932A9"/>
    <w:rsid w:val="00496720"/>
    <w:rsid w:val="00496BB8"/>
    <w:rsid w:val="004973AB"/>
    <w:rsid w:val="004A39BF"/>
    <w:rsid w:val="004A586A"/>
    <w:rsid w:val="004B1DE2"/>
    <w:rsid w:val="004B4583"/>
    <w:rsid w:val="004B6205"/>
    <w:rsid w:val="004C49A2"/>
    <w:rsid w:val="004D405A"/>
    <w:rsid w:val="004D4923"/>
    <w:rsid w:val="004D61E7"/>
    <w:rsid w:val="004E1C2B"/>
    <w:rsid w:val="004E35FB"/>
    <w:rsid w:val="004E73D1"/>
    <w:rsid w:val="004F0DAF"/>
    <w:rsid w:val="004F2AE4"/>
    <w:rsid w:val="004F37A1"/>
    <w:rsid w:val="00500D92"/>
    <w:rsid w:val="005028EB"/>
    <w:rsid w:val="0050323D"/>
    <w:rsid w:val="0050408F"/>
    <w:rsid w:val="005071BB"/>
    <w:rsid w:val="00507C06"/>
    <w:rsid w:val="00515373"/>
    <w:rsid w:val="00515E13"/>
    <w:rsid w:val="00517228"/>
    <w:rsid w:val="005202FE"/>
    <w:rsid w:val="00525C46"/>
    <w:rsid w:val="00526B1C"/>
    <w:rsid w:val="00526FEF"/>
    <w:rsid w:val="00532481"/>
    <w:rsid w:val="005336E7"/>
    <w:rsid w:val="005358C3"/>
    <w:rsid w:val="0053698F"/>
    <w:rsid w:val="00537080"/>
    <w:rsid w:val="00540BF2"/>
    <w:rsid w:val="00542A31"/>
    <w:rsid w:val="00546643"/>
    <w:rsid w:val="005512F9"/>
    <w:rsid w:val="00552712"/>
    <w:rsid w:val="00552F42"/>
    <w:rsid w:val="00556AB7"/>
    <w:rsid w:val="0056097A"/>
    <w:rsid w:val="00560DFB"/>
    <w:rsid w:val="00561A3E"/>
    <w:rsid w:val="00561AA3"/>
    <w:rsid w:val="0056479E"/>
    <w:rsid w:val="00571B07"/>
    <w:rsid w:val="00574BC7"/>
    <w:rsid w:val="00574EDD"/>
    <w:rsid w:val="00575043"/>
    <w:rsid w:val="00577BCD"/>
    <w:rsid w:val="005819E3"/>
    <w:rsid w:val="00581E96"/>
    <w:rsid w:val="0058247F"/>
    <w:rsid w:val="00583646"/>
    <w:rsid w:val="0058514D"/>
    <w:rsid w:val="00585FFC"/>
    <w:rsid w:val="005937BA"/>
    <w:rsid w:val="005948A6"/>
    <w:rsid w:val="00595B9F"/>
    <w:rsid w:val="00597162"/>
    <w:rsid w:val="00597527"/>
    <w:rsid w:val="005A01D4"/>
    <w:rsid w:val="005A1504"/>
    <w:rsid w:val="005A3A00"/>
    <w:rsid w:val="005A487A"/>
    <w:rsid w:val="005A5931"/>
    <w:rsid w:val="005A7939"/>
    <w:rsid w:val="005B2F2F"/>
    <w:rsid w:val="005C4B54"/>
    <w:rsid w:val="005C56CF"/>
    <w:rsid w:val="005C59AE"/>
    <w:rsid w:val="005C5E3F"/>
    <w:rsid w:val="005D04B5"/>
    <w:rsid w:val="005D0EC3"/>
    <w:rsid w:val="005D11F2"/>
    <w:rsid w:val="005D3372"/>
    <w:rsid w:val="005D455C"/>
    <w:rsid w:val="005E36D9"/>
    <w:rsid w:val="005E4154"/>
    <w:rsid w:val="005E4871"/>
    <w:rsid w:val="005E6348"/>
    <w:rsid w:val="005E6987"/>
    <w:rsid w:val="005F0A86"/>
    <w:rsid w:val="005F5156"/>
    <w:rsid w:val="00601723"/>
    <w:rsid w:val="00602EFC"/>
    <w:rsid w:val="00607C8A"/>
    <w:rsid w:val="00610E05"/>
    <w:rsid w:val="00616613"/>
    <w:rsid w:val="00622081"/>
    <w:rsid w:val="006227C8"/>
    <w:rsid w:val="00624775"/>
    <w:rsid w:val="00627A28"/>
    <w:rsid w:val="006314AA"/>
    <w:rsid w:val="00641A59"/>
    <w:rsid w:val="00643EC6"/>
    <w:rsid w:val="006468F2"/>
    <w:rsid w:val="00646F63"/>
    <w:rsid w:val="00650D07"/>
    <w:rsid w:val="006514BB"/>
    <w:rsid w:val="00651E77"/>
    <w:rsid w:val="00651F7F"/>
    <w:rsid w:val="00653BA8"/>
    <w:rsid w:val="006549FF"/>
    <w:rsid w:val="00664498"/>
    <w:rsid w:val="00664D56"/>
    <w:rsid w:val="00664FB1"/>
    <w:rsid w:val="00665AF5"/>
    <w:rsid w:val="006665EE"/>
    <w:rsid w:val="00667953"/>
    <w:rsid w:val="00677A2F"/>
    <w:rsid w:val="00680BF8"/>
    <w:rsid w:val="00681CFC"/>
    <w:rsid w:val="00682E6D"/>
    <w:rsid w:val="006835F3"/>
    <w:rsid w:val="00685D6F"/>
    <w:rsid w:val="00686CD2"/>
    <w:rsid w:val="006874C3"/>
    <w:rsid w:val="006959DD"/>
    <w:rsid w:val="00695D85"/>
    <w:rsid w:val="006A2514"/>
    <w:rsid w:val="006A29A7"/>
    <w:rsid w:val="006A2C41"/>
    <w:rsid w:val="006A763C"/>
    <w:rsid w:val="006B10DC"/>
    <w:rsid w:val="006B4860"/>
    <w:rsid w:val="006B4C88"/>
    <w:rsid w:val="006C2F8F"/>
    <w:rsid w:val="006C4995"/>
    <w:rsid w:val="006C7E89"/>
    <w:rsid w:val="006D0668"/>
    <w:rsid w:val="006D6AC5"/>
    <w:rsid w:val="006E04E9"/>
    <w:rsid w:val="006E0FB0"/>
    <w:rsid w:val="006E1BBB"/>
    <w:rsid w:val="006E23B5"/>
    <w:rsid w:val="006E4DB7"/>
    <w:rsid w:val="006E62AB"/>
    <w:rsid w:val="006F00EB"/>
    <w:rsid w:val="006F2BB5"/>
    <w:rsid w:val="006F4788"/>
    <w:rsid w:val="006F5FFA"/>
    <w:rsid w:val="006F743B"/>
    <w:rsid w:val="00700239"/>
    <w:rsid w:val="00704365"/>
    <w:rsid w:val="00711269"/>
    <w:rsid w:val="007139C6"/>
    <w:rsid w:val="00714089"/>
    <w:rsid w:val="007155EA"/>
    <w:rsid w:val="007208DA"/>
    <w:rsid w:val="007241CE"/>
    <w:rsid w:val="00725C1F"/>
    <w:rsid w:val="00732B64"/>
    <w:rsid w:val="00734F0C"/>
    <w:rsid w:val="0073514F"/>
    <w:rsid w:val="007424E7"/>
    <w:rsid w:val="00742BAC"/>
    <w:rsid w:val="00743492"/>
    <w:rsid w:val="007435D8"/>
    <w:rsid w:val="0074716B"/>
    <w:rsid w:val="00750311"/>
    <w:rsid w:val="00750C8A"/>
    <w:rsid w:val="00753C41"/>
    <w:rsid w:val="00754947"/>
    <w:rsid w:val="007571C4"/>
    <w:rsid w:val="007575F6"/>
    <w:rsid w:val="007609B2"/>
    <w:rsid w:val="00764353"/>
    <w:rsid w:val="007679B8"/>
    <w:rsid w:val="0077026C"/>
    <w:rsid w:val="00770CF5"/>
    <w:rsid w:val="00770E82"/>
    <w:rsid w:val="00772524"/>
    <w:rsid w:val="00777B7C"/>
    <w:rsid w:val="00785EAB"/>
    <w:rsid w:val="00787CC0"/>
    <w:rsid w:val="0079656B"/>
    <w:rsid w:val="00797737"/>
    <w:rsid w:val="007A19A3"/>
    <w:rsid w:val="007A39E8"/>
    <w:rsid w:val="007B3164"/>
    <w:rsid w:val="007B375D"/>
    <w:rsid w:val="007B44A9"/>
    <w:rsid w:val="007C1900"/>
    <w:rsid w:val="007C28EC"/>
    <w:rsid w:val="007C3D79"/>
    <w:rsid w:val="007C3DE8"/>
    <w:rsid w:val="007C4599"/>
    <w:rsid w:val="007C492E"/>
    <w:rsid w:val="007D2131"/>
    <w:rsid w:val="007D34BC"/>
    <w:rsid w:val="007D7D28"/>
    <w:rsid w:val="007E0C77"/>
    <w:rsid w:val="007F0A7F"/>
    <w:rsid w:val="007F6CD9"/>
    <w:rsid w:val="007F735C"/>
    <w:rsid w:val="0080098F"/>
    <w:rsid w:val="00810836"/>
    <w:rsid w:val="00813127"/>
    <w:rsid w:val="008146E1"/>
    <w:rsid w:val="008173F2"/>
    <w:rsid w:val="00820ACB"/>
    <w:rsid w:val="00821606"/>
    <w:rsid w:val="00821FC3"/>
    <w:rsid w:val="008227A1"/>
    <w:rsid w:val="00823256"/>
    <w:rsid w:val="008251BA"/>
    <w:rsid w:val="00831415"/>
    <w:rsid w:val="0083223C"/>
    <w:rsid w:val="00834455"/>
    <w:rsid w:val="00834738"/>
    <w:rsid w:val="0083619B"/>
    <w:rsid w:val="0083686F"/>
    <w:rsid w:val="00836F03"/>
    <w:rsid w:val="00837A76"/>
    <w:rsid w:val="00840597"/>
    <w:rsid w:val="00842D6F"/>
    <w:rsid w:val="00842DDD"/>
    <w:rsid w:val="00846A0B"/>
    <w:rsid w:val="008471AC"/>
    <w:rsid w:val="008500A9"/>
    <w:rsid w:val="00851064"/>
    <w:rsid w:val="00851891"/>
    <w:rsid w:val="0085278A"/>
    <w:rsid w:val="00855F88"/>
    <w:rsid w:val="00857455"/>
    <w:rsid w:val="00861AA1"/>
    <w:rsid w:val="00862B28"/>
    <w:rsid w:val="00864F63"/>
    <w:rsid w:val="00867248"/>
    <w:rsid w:val="00870152"/>
    <w:rsid w:val="00873EE4"/>
    <w:rsid w:val="00876F06"/>
    <w:rsid w:val="00885B02"/>
    <w:rsid w:val="00886C25"/>
    <w:rsid w:val="00886ECA"/>
    <w:rsid w:val="00891A35"/>
    <w:rsid w:val="00891F70"/>
    <w:rsid w:val="00892917"/>
    <w:rsid w:val="00896065"/>
    <w:rsid w:val="008A0971"/>
    <w:rsid w:val="008A168D"/>
    <w:rsid w:val="008A1BF0"/>
    <w:rsid w:val="008A2ABB"/>
    <w:rsid w:val="008A7F92"/>
    <w:rsid w:val="008B01E3"/>
    <w:rsid w:val="008B0475"/>
    <w:rsid w:val="008B2C3A"/>
    <w:rsid w:val="008B370E"/>
    <w:rsid w:val="008B4B60"/>
    <w:rsid w:val="008B68D3"/>
    <w:rsid w:val="008B6FCA"/>
    <w:rsid w:val="008B74DC"/>
    <w:rsid w:val="008B7AD2"/>
    <w:rsid w:val="008C5C9B"/>
    <w:rsid w:val="008C7BEE"/>
    <w:rsid w:val="008D1F0E"/>
    <w:rsid w:val="008D44A8"/>
    <w:rsid w:val="008D6DA6"/>
    <w:rsid w:val="008D725D"/>
    <w:rsid w:val="008D7F5D"/>
    <w:rsid w:val="008E3932"/>
    <w:rsid w:val="008E5FEA"/>
    <w:rsid w:val="008F43FE"/>
    <w:rsid w:val="008F6315"/>
    <w:rsid w:val="0090262B"/>
    <w:rsid w:val="00905280"/>
    <w:rsid w:val="009053D1"/>
    <w:rsid w:val="00905621"/>
    <w:rsid w:val="00906EC6"/>
    <w:rsid w:val="009112BA"/>
    <w:rsid w:val="00912269"/>
    <w:rsid w:val="00912683"/>
    <w:rsid w:val="00912ACA"/>
    <w:rsid w:val="00913899"/>
    <w:rsid w:val="009168B4"/>
    <w:rsid w:val="00917704"/>
    <w:rsid w:val="00920BAB"/>
    <w:rsid w:val="00924850"/>
    <w:rsid w:val="009272B4"/>
    <w:rsid w:val="00927CB6"/>
    <w:rsid w:val="00930078"/>
    <w:rsid w:val="00930B1D"/>
    <w:rsid w:val="00931CD5"/>
    <w:rsid w:val="009334E5"/>
    <w:rsid w:val="00937FC7"/>
    <w:rsid w:val="00941924"/>
    <w:rsid w:val="00943875"/>
    <w:rsid w:val="009453EA"/>
    <w:rsid w:val="00953481"/>
    <w:rsid w:val="009579DF"/>
    <w:rsid w:val="00962D50"/>
    <w:rsid w:val="00965C88"/>
    <w:rsid w:val="00966306"/>
    <w:rsid w:val="00971BEA"/>
    <w:rsid w:val="00972311"/>
    <w:rsid w:val="009728E4"/>
    <w:rsid w:val="00972EB6"/>
    <w:rsid w:val="009803A2"/>
    <w:rsid w:val="0098218B"/>
    <w:rsid w:val="00983353"/>
    <w:rsid w:val="00983B0A"/>
    <w:rsid w:val="00985124"/>
    <w:rsid w:val="009860B0"/>
    <w:rsid w:val="00986147"/>
    <w:rsid w:val="00986868"/>
    <w:rsid w:val="00990504"/>
    <w:rsid w:val="009910F7"/>
    <w:rsid w:val="00991837"/>
    <w:rsid w:val="00992367"/>
    <w:rsid w:val="009935BE"/>
    <w:rsid w:val="00993FEE"/>
    <w:rsid w:val="00994ABD"/>
    <w:rsid w:val="0099559E"/>
    <w:rsid w:val="009963A8"/>
    <w:rsid w:val="009A3468"/>
    <w:rsid w:val="009A3EA8"/>
    <w:rsid w:val="009A5260"/>
    <w:rsid w:val="009A5546"/>
    <w:rsid w:val="009A5805"/>
    <w:rsid w:val="009A606F"/>
    <w:rsid w:val="009A77DD"/>
    <w:rsid w:val="009B24B8"/>
    <w:rsid w:val="009B664B"/>
    <w:rsid w:val="009C3826"/>
    <w:rsid w:val="009C4CD9"/>
    <w:rsid w:val="009C681F"/>
    <w:rsid w:val="009D035A"/>
    <w:rsid w:val="009D2280"/>
    <w:rsid w:val="009D3551"/>
    <w:rsid w:val="009D40FB"/>
    <w:rsid w:val="009E22A2"/>
    <w:rsid w:val="009E2F02"/>
    <w:rsid w:val="009E415E"/>
    <w:rsid w:val="009E4287"/>
    <w:rsid w:val="009F16AF"/>
    <w:rsid w:val="009F46DC"/>
    <w:rsid w:val="009F692A"/>
    <w:rsid w:val="00A063AA"/>
    <w:rsid w:val="00A06CEC"/>
    <w:rsid w:val="00A12CCC"/>
    <w:rsid w:val="00A145C5"/>
    <w:rsid w:val="00A14C7C"/>
    <w:rsid w:val="00A20B4C"/>
    <w:rsid w:val="00A22D9E"/>
    <w:rsid w:val="00A242AE"/>
    <w:rsid w:val="00A27331"/>
    <w:rsid w:val="00A274A0"/>
    <w:rsid w:val="00A34B6C"/>
    <w:rsid w:val="00A36DFC"/>
    <w:rsid w:val="00A3790B"/>
    <w:rsid w:val="00A40901"/>
    <w:rsid w:val="00A41560"/>
    <w:rsid w:val="00A449E2"/>
    <w:rsid w:val="00A51601"/>
    <w:rsid w:val="00A60D81"/>
    <w:rsid w:val="00A614F5"/>
    <w:rsid w:val="00A6508E"/>
    <w:rsid w:val="00A672E1"/>
    <w:rsid w:val="00A72BEF"/>
    <w:rsid w:val="00A730E1"/>
    <w:rsid w:val="00A73DB8"/>
    <w:rsid w:val="00A7481E"/>
    <w:rsid w:val="00A75975"/>
    <w:rsid w:val="00A775F6"/>
    <w:rsid w:val="00A8225A"/>
    <w:rsid w:val="00A91E50"/>
    <w:rsid w:val="00A930E8"/>
    <w:rsid w:val="00A94025"/>
    <w:rsid w:val="00A95367"/>
    <w:rsid w:val="00A97E82"/>
    <w:rsid w:val="00AA0DA0"/>
    <w:rsid w:val="00AA2770"/>
    <w:rsid w:val="00AA4087"/>
    <w:rsid w:val="00AA67E6"/>
    <w:rsid w:val="00AB05AE"/>
    <w:rsid w:val="00AB155F"/>
    <w:rsid w:val="00AB190B"/>
    <w:rsid w:val="00AB223C"/>
    <w:rsid w:val="00AB44E0"/>
    <w:rsid w:val="00AB499A"/>
    <w:rsid w:val="00AB6601"/>
    <w:rsid w:val="00AB6C0C"/>
    <w:rsid w:val="00AC07CA"/>
    <w:rsid w:val="00AC0A42"/>
    <w:rsid w:val="00AC30CD"/>
    <w:rsid w:val="00AC7487"/>
    <w:rsid w:val="00AD0E60"/>
    <w:rsid w:val="00AD5050"/>
    <w:rsid w:val="00AE0BA3"/>
    <w:rsid w:val="00AE6C29"/>
    <w:rsid w:val="00AF157E"/>
    <w:rsid w:val="00AF19A2"/>
    <w:rsid w:val="00AF5500"/>
    <w:rsid w:val="00AF5AA1"/>
    <w:rsid w:val="00B12174"/>
    <w:rsid w:val="00B17519"/>
    <w:rsid w:val="00B205A4"/>
    <w:rsid w:val="00B21B02"/>
    <w:rsid w:val="00B22F16"/>
    <w:rsid w:val="00B23026"/>
    <w:rsid w:val="00B23D09"/>
    <w:rsid w:val="00B24A93"/>
    <w:rsid w:val="00B25435"/>
    <w:rsid w:val="00B25A48"/>
    <w:rsid w:val="00B25B90"/>
    <w:rsid w:val="00B27EEC"/>
    <w:rsid w:val="00B30A7E"/>
    <w:rsid w:val="00B31DD6"/>
    <w:rsid w:val="00B327D2"/>
    <w:rsid w:val="00B33376"/>
    <w:rsid w:val="00B350AB"/>
    <w:rsid w:val="00B36089"/>
    <w:rsid w:val="00B40A9D"/>
    <w:rsid w:val="00B4228F"/>
    <w:rsid w:val="00B47F46"/>
    <w:rsid w:val="00B52385"/>
    <w:rsid w:val="00B5271E"/>
    <w:rsid w:val="00B548DC"/>
    <w:rsid w:val="00B5641D"/>
    <w:rsid w:val="00B61973"/>
    <w:rsid w:val="00B623EE"/>
    <w:rsid w:val="00B62C33"/>
    <w:rsid w:val="00B648CE"/>
    <w:rsid w:val="00B714A1"/>
    <w:rsid w:val="00B71A34"/>
    <w:rsid w:val="00B72C4E"/>
    <w:rsid w:val="00B74551"/>
    <w:rsid w:val="00B748B6"/>
    <w:rsid w:val="00B77821"/>
    <w:rsid w:val="00B77948"/>
    <w:rsid w:val="00B80788"/>
    <w:rsid w:val="00B8342F"/>
    <w:rsid w:val="00B87930"/>
    <w:rsid w:val="00B90ABF"/>
    <w:rsid w:val="00B95792"/>
    <w:rsid w:val="00B95BCB"/>
    <w:rsid w:val="00BA1B1C"/>
    <w:rsid w:val="00BA1D0E"/>
    <w:rsid w:val="00BA272E"/>
    <w:rsid w:val="00BA5456"/>
    <w:rsid w:val="00BA663C"/>
    <w:rsid w:val="00BA78A3"/>
    <w:rsid w:val="00BB6E6E"/>
    <w:rsid w:val="00BC2225"/>
    <w:rsid w:val="00BC2D52"/>
    <w:rsid w:val="00BC4B1D"/>
    <w:rsid w:val="00BC5B07"/>
    <w:rsid w:val="00BC7AB4"/>
    <w:rsid w:val="00BD2D48"/>
    <w:rsid w:val="00BD41FB"/>
    <w:rsid w:val="00BF0325"/>
    <w:rsid w:val="00BF10C1"/>
    <w:rsid w:val="00BF12FB"/>
    <w:rsid w:val="00BF4A11"/>
    <w:rsid w:val="00BF539F"/>
    <w:rsid w:val="00C0179B"/>
    <w:rsid w:val="00C02330"/>
    <w:rsid w:val="00C02723"/>
    <w:rsid w:val="00C0497A"/>
    <w:rsid w:val="00C04C5B"/>
    <w:rsid w:val="00C05D97"/>
    <w:rsid w:val="00C11A50"/>
    <w:rsid w:val="00C12363"/>
    <w:rsid w:val="00C12899"/>
    <w:rsid w:val="00C13E75"/>
    <w:rsid w:val="00C15FA9"/>
    <w:rsid w:val="00C1637D"/>
    <w:rsid w:val="00C1678A"/>
    <w:rsid w:val="00C17079"/>
    <w:rsid w:val="00C1730D"/>
    <w:rsid w:val="00C23A0E"/>
    <w:rsid w:val="00C23B3A"/>
    <w:rsid w:val="00C24186"/>
    <w:rsid w:val="00C24251"/>
    <w:rsid w:val="00C24EBE"/>
    <w:rsid w:val="00C26791"/>
    <w:rsid w:val="00C27672"/>
    <w:rsid w:val="00C314B0"/>
    <w:rsid w:val="00C325EB"/>
    <w:rsid w:val="00C37943"/>
    <w:rsid w:val="00C40B11"/>
    <w:rsid w:val="00C452DD"/>
    <w:rsid w:val="00C50359"/>
    <w:rsid w:val="00C554CD"/>
    <w:rsid w:val="00C64292"/>
    <w:rsid w:val="00C642DF"/>
    <w:rsid w:val="00C6455A"/>
    <w:rsid w:val="00C6571F"/>
    <w:rsid w:val="00C75CB8"/>
    <w:rsid w:val="00C80361"/>
    <w:rsid w:val="00C80420"/>
    <w:rsid w:val="00C814F8"/>
    <w:rsid w:val="00C87AED"/>
    <w:rsid w:val="00C87F02"/>
    <w:rsid w:val="00C93237"/>
    <w:rsid w:val="00C9357B"/>
    <w:rsid w:val="00C94F3B"/>
    <w:rsid w:val="00C95879"/>
    <w:rsid w:val="00CA0147"/>
    <w:rsid w:val="00CA2B0B"/>
    <w:rsid w:val="00CA2BB3"/>
    <w:rsid w:val="00CA416F"/>
    <w:rsid w:val="00CA5450"/>
    <w:rsid w:val="00CA56B0"/>
    <w:rsid w:val="00CA70FA"/>
    <w:rsid w:val="00CB4C0E"/>
    <w:rsid w:val="00CB52B0"/>
    <w:rsid w:val="00CB6108"/>
    <w:rsid w:val="00CB693B"/>
    <w:rsid w:val="00CB7F1F"/>
    <w:rsid w:val="00CC7178"/>
    <w:rsid w:val="00CD7BCD"/>
    <w:rsid w:val="00CE1FA8"/>
    <w:rsid w:val="00CE286E"/>
    <w:rsid w:val="00CE50C8"/>
    <w:rsid w:val="00CE6972"/>
    <w:rsid w:val="00CF4C36"/>
    <w:rsid w:val="00CF4CDD"/>
    <w:rsid w:val="00D005D5"/>
    <w:rsid w:val="00D010BC"/>
    <w:rsid w:val="00D01100"/>
    <w:rsid w:val="00D0661D"/>
    <w:rsid w:val="00D069B9"/>
    <w:rsid w:val="00D126B4"/>
    <w:rsid w:val="00D16120"/>
    <w:rsid w:val="00D179EB"/>
    <w:rsid w:val="00D219A8"/>
    <w:rsid w:val="00D226F2"/>
    <w:rsid w:val="00D26034"/>
    <w:rsid w:val="00D32DEB"/>
    <w:rsid w:val="00D359C0"/>
    <w:rsid w:val="00D37319"/>
    <w:rsid w:val="00D50EAE"/>
    <w:rsid w:val="00D51BEE"/>
    <w:rsid w:val="00D52275"/>
    <w:rsid w:val="00D5406A"/>
    <w:rsid w:val="00D611BD"/>
    <w:rsid w:val="00D64B31"/>
    <w:rsid w:val="00D7287B"/>
    <w:rsid w:val="00D72930"/>
    <w:rsid w:val="00D83576"/>
    <w:rsid w:val="00D84148"/>
    <w:rsid w:val="00D909D4"/>
    <w:rsid w:val="00D92A23"/>
    <w:rsid w:val="00D939FC"/>
    <w:rsid w:val="00D946CA"/>
    <w:rsid w:val="00DA029D"/>
    <w:rsid w:val="00DA3F2D"/>
    <w:rsid w:val="00DA6273"/>
    <w:rsid w:val="00DA7362"/>
    <w:rsid w:val="00DB0276"/>
    <w:rsid w:val="00DB0A20"/>
    <w:rsid w:val="00DB18DF"/>
    <w:rsid w:val="00DB3811"/>
    <w:rsid w:val="00DB4B02"/>
    <w:rsid w:val="00DB6EA9"/>
    <w:rsid w:val="00DB7E49"/>
    <w:rsid w:val="00DC68C7"/>
    <w:rsid w:val="00DD006E"/>
    <w:rsid w:val="00DD3E4D"/>
    <w:rsid w:val="00DD4BC7"/>
    <w:rsid w:val="00DD5AE4"/>
    <w:rsid w:val="00DD7034"/>
    <w:rsid w:val="00DE1C13"/>
    <w:rsid w:val="00DE5791"/>
    <w:rsid w:val="00DE6AA5"/>
    <w:rsid w:val="00DE6CCC"/>
    <w:rsid w:val="00DE779E"/>
    <w:rsid w:val="00DE7D67"/>
    <w:rsid w:val="00DF3287"/>
    <w:rsid w:val="00DF6B14"/>
    <w:rsid w:val="00E03F8F"/>
    <w:rsid w:val="00E10152"/>
    <w:rsid w:val="00E135B6"/>
    <w:rsid w:val="00E20B00"/>
    <w:rsid w:val="00E23C82"/>
    <w:rsid w:val="00E27FE8"/>
    <w:rsid w:val="00E30CF5"/>
    <w:rsid w:val="00E3125E"/>
    <w:rsid w:val="00E33CD7"/>
    <w:rsid w:val="00E350EC"/>
    <w:rsid w:val="00E3613D"/>
    <w:rsid w:val="00E36320"/>
    <w:rsid w:val="00E3659B"/>
    <w:rsid w:val="00E4208E"/>
    <w:rsid w:val="00E4636D"/>
    <w:rsid w:val="00E46E19"/>
    <w:rsid w:val="00E52233"/>
    <w:rsid w:val="00E54E36"/>
    <w:rsid w:val="00E60933"/>
    <w:rsid w:val="00E71631"/>
    <w:rsid w:val="00E75268"/>
    <w:rsid w:val="00E7798A"/>
    <w:rsid w:val="00E84982"/>
    <w:rsid w:val="00E84A3E"/>
    <w:rsid w:val="00E931C6"/>
    <w:rsid w:val="00E9414D"/>
    <w:rsid w:val="00E96AFC"/>
    <w:rsid w:val="00E96B90"/>
    <w:rsid w:val="00E96E4F"/>
    <w:rsid w:val="00E97A39"/>
    <w:rsid w:val="00EA0DC7"/>
    <w:rsid w:val="00EA1E65"/>
    <w:rsid w:val="00EA4751"/>
    <w:rsid w:val="00EA5376"/>
    <w:rsid w:val="00EA6E78"/>
    <w:rsid w:val="00EA7196"/>
    <w:rsid w:val="00EB29C6"/>
    <w:rsid w:val="00EB7624"/>
    <w:rsid w:val="00EC0910"/>
    <w:rsid w:val="00EC0ACA"/>
    <w:rsid w:val="00EC7F26"/>
    <w:rsid w:val="00ED1462"/>
    <w:rsid w:val="00ED311A"/>
    <w:rsid w:val="00ED50AD"/>
    <w:rsid w:val="00ED690A"/>
    <w:rsid w:val="00EE60F8"/>
    <w:rsid w:val="00EE7802"/>
    <w:rsid w:val="00EF04F1"/>
    <w:rsid w:val="00EF09EA"/>
    <w:rsid w:val="00EF1111"/>
    <w:rsid w:val="00EF1868"/>
    <w:rsid w:val="00EF238C"/>
    <w:rsid w:val="00EF2A4E"/>
    <w:rsid w:val="00EF3582"/>
    <w:rsid w:val="00F03F66"/>
    <w:rsid w:val="00F06BA2"/>
    <w:rsid w:val="00F120F0"/>
    <w:rsid w:val="00F13341"/>
    <w:rsid w:val="00F14CCB"/>
    <w:rsid w:val="00F153AB"/>
    <w:rsid w:val="00F1787A"/>
    <w:rsid w:val="00F20E8A"/>
    <w:rsid w:val="00F22877"/>
    <w:rsid w:val="00F23A9C"/>
    <w:rsid w:val="00F279CB"/>
    <w:rsid w:val="00F31B22"/>
    <w:rsid w:val="00F33898"/>
    <w:rsid w:val="00F349DE"/>
    <w:rsid w:val="00F34A39"/>
    <w:rsid w:val="00F36303"/>
    <w:rsid w:val="00F441B3"/>
    <w:rsid w:val="00F46074"/>
    <w:rsid w:val="00F47543"/>
    <w:rsid w:val="00F502AD"/>
    <w:rsid w:val="00F5208C"/>
    <w:rsid w:val="00F5391A"/>
    <w:rsid w:val="00F608CA"/>
    <w:rsid w:val="00F638DD"/>
    <w:rsid w:val="00F64614"/>
    <w:rsid w:val="00F670A3"/>
    <w:rsid w:val="00F71EEB"/>
    <w:rsid w:val="00F737F7"/>
    <w:rsid w:val="00F76286"/>
    <w:rsid w:val="00F85814"/>
    <w:rsid w:val="00F86A91"/>
    <w:rsid w:val="00F9035E"/>
    <w:rsid w:val="00F91585"/>
    <w:rsid w:val="00F924C9"/>
    <w:rsid w:val="00F92780"/>
    <w:rsid w:val="00F92C25"/>
    <w:rsid w:val="00F93B1D"/>
    <w:rsid w:val="00F940FC"/>
    <w:rsid w:val="00FA1AE2"/>
    <w:rsid w:val="00FA4BB0"/>
    <w:rsid w:val="00FA4DDA"/>
    <w:rsid w:val="00FA6C42"/>
    <w:rsid w:val="00FB1EA8"/>
    <w:rsid w:val="00FB2A99"/>
    <w:rsid w:val="00FB5E15"/>
    <w:rsid w:val="00FC4471"/>
    <w:rsid w:val="00FC4875"/>
    <w:rsid w:val="00FC68FC"/>
    <w:rsid w:val="00FD100F"/>
    <w:rsid w:val="00FD33EE"/>
    <w:rsid w:val="00FD3960"/>
    <w:rsid w:val="00FD3D65"/>
    <w:rsid w:val="00FD3E1F"/>
    <w:rsid w:val="00FD49B6"/>
    <w:rsid w:val="00FD63F3"/>
    <w:rsid w:val="00FD6B93"/>
    <w:rsid w:val="00FE2729"/>
    <w:rsid w:val="00FE2F20"/>
    <w:rsid w:val="00FE5A3B"/>
    <w:rsid w:val="00FE61B4"/>
    <w:rsid w:val="00FE6D46"/>
    <w:rsid w:val="00FE76F9"/>
    <w:rsid w:val="00FF4EEE"/>
    <w:rsid w:val="00FF4FA0"/>
    <w:rsid w:val="00FF5446"/>
    <w:rsid w:val="00FF666F"/>
    <w:rsid w:val="00FF742B"/>
    <w:rsid w:val="00FF7611"/>
    <w:rsid w:val="37B5BF9B"/>
    <w:rsid w:val="6EF823B3"/>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D564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30E1"/>
    <w:rPr>
      <w:color w:val="050A0C"/>
    </w:rPr>
  </w:style>
  <w:style w:type="paragraph" w:styleId="Heading1">
    <w:name w:val="heading 1"/>
    <w:basedOn w:val="Normal"/>
    <w:next w:val="Normal"/>
    <w:link w:val="Heading1Char"/>
    <w:uiPriority w:val="9"/>
    <w:qFormat/>
    <w:rsid w:val="00912683"/>
    <w:pPr>
      <w:keepNext/>
      <w:keepLines/>
      <w:spacing w:before="840" w:after="360"/>
      <w:outlineLvl w:val="0"/>
    </w:pPr>
    <w:rPr>
      <w:rFonts w:asciiTheme="majorHAnsi" w:eastAsiaTheme="majorEastAsia" w:hAnsiTheme="majorHAnsi" w:cstheme="majorBidi"/>
      <w:b/>
      <w:bCs/>
      <w:color w:val="9D2441"/>
      <w:sz w:val="32"/>
      <w:szCs w:val="32"/>
    </w:rPr>
  </w:style>
  <w:style w:type="paragraph" w:styleId="Heading2">
    <w:name w:val="heading 2"/>
    <w:basedOn w:val="Normal"/>
    <w:next w:val="Normal"/>
    <w:link w:val="Heading2Char"/>
    <w:uiPriority w:val="9"/>
    <w:unhideWhenUsed/>
    <w:qFormat/>
    <w:rsid w:val="00912683"/>
    <w:pPr>
      <w:keepNext/>
      <w:keepLines/>
      <w:spacing w:before="320" w:after="120"/>
      <w:outlineLvl w:val="1"/>
    </w:pPr>
    <w:rPr>
      <w:rFonts w:asciiTheme="majorHAnsi" w:eastAsiaTheme="majorEastAsia" w:hAnsiTheme="majorHAnsi" w:cstheme="majorBidi"/>
      <w:b/>
      <w:bCs/>
      <w:color w:val="9D2441"/>
      <w:sz w:val="26"/>
      <w:szCs w:val="26"/>
    </w:rPr>
  </w:style>
  <w:style w:type="paragraph" w:styleId="Heading3">
    <w:name w:val="heading 3"/>
    <w:basedOn w:val="Normal"/>
    <w:next w:val="Normal"/>
    <w:link w:val="Heading3Char"/>
    <w:uiPriority w:val="9"/>
    <w:unhideWhenUsed/>
    <w:qFormat/>
    <w:rsid w:val="00A730E1"/>
    <w:pPr>
      <w:keepNext/>
      <w:keepLines/>
      <w:spacing w:before="200" w:after="0"/>
      <w:outlineLvl w:val="2"/>
    </w:pPr>
    <w:rPr>
      <w:rFonts w:asciiTheme="majorHAnsi" w:eastAsiaTheme="majorEastAsia" w:hAnsiTheme="majorHAnsi" w:cstheme="majorBidi"/>
      <w:b/>
      <w:bCs/>
      <w:color w:val="9D2441"/>
    </w:rPr>
  </w:style>
  <w:style w:type="paragraph" w:styleId="Heading4">
    <w:name w:val="heading 4"/>
    <w:basedOn w:val="Normal"/>
    <w:next w:val="Normal"/>
    <w:link w:val="Heading4Char"/>
    <w:uiPriority w:val="9"/>
    <w:semiHidden/>
    <w:unhideWhenUsed/>
    <w:qFormat/>
    <w:rsid w:val="00A730E1"/>
    <w:pPr>
      <w:keepNext/>
      <w:keepLines/>
      <w:spacing w:before="40" w:after="0"/>
      <w:outlineLvl w:val="3"/>
    </w:pPr>
    <w:rPr>
      <w:rFonts w:asciiTheme="majorHAnsi" w:eastAsiaTheme="majorEastAsia" w:hAnsiTheme="majorHAnsi" w:cstheme="majorBidi"/>
      <w:i/>
      <w:iCs/>
      <w:color w:val="9D24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E61B4"/>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E3301B"/>
    <w:rPr>
      <w:rFonts w:ascii="Lucida Grande" w:hAnsi="Lucida Grande"/>
      <w:sz w:val="18"/>
      <w:szCs w:val="18"/>
    </w:rPr>
  </w:style>
  <w:style w:type="character" w:customStyle="1" w:styleId="BalloonTextChar0">
    <w:name w:val="Balloon Text Char"/>
    <w:basedOn w:val="DefaultParagraphFont"/>
    <w:uiPriority w:val="99"/>
    <w:semiHidden/>
    <w:rsid w:val="00DB1416"/>
    <w:rPr>
      <w:rFonts w:ascii="Lucida Grande" w:hAnsi="Lucida Grande"/>
      <w:sz w:val="18"/>
      <w:szCs w:val="18"/>
    </w:rPr>
  </w:style>
  <w:style w:type="character" w:customStyle="1" w:styleId="BalloonTextChar2">
    <w:name w:val="Balloon Text Char"/>
    <w:basedOn w:val="DefaultParagraphFont"/>
    <w:uiPriority w:val="99"/>
    <w:semiHidden/>
    <w:rsid w:val="00DB1416"/>
    <w:rPr>
      <w:rFonts w:ascii="Lucida Grande" w:hAnsi="Lucida Grande"/>
      <w:sz w:val="18"/>
      <w:szCs w:val="18"/>
    </w:rPr>
  </w:style>
  <w:style w:type="character" w:customStyle="1" w:styleId="BalloonTextChar3">
    <w:name w:val="Balloon Text Char"/>
    <w:basedOn w:val="DefaultParagraphFont"/>
    <w:uiPriority w:val="99"/>
    <w:semiHidden/>
    <w:rsid w:val="00DB1416"/>
    <w:rPr>
      <w:rFonts w:ascii="Lucida Grande" w:hAnsi="Lucida Grande"/>
      <w:sz w:val="18"/>
      <w:szCs w:val="18"/>
    </w:rPr>
  </w:style>
  <w:style w:type="character" w:customStyle="1" w:styleId="BalloonTextChar4">
    <w:name w:val="Balloon Text Char"/>
    <w:basedOn w:val="DefaultParagraphFont"/>
    <w:uiPriority w:val="99"/>
    <w:semiHidden/>
    <w:rsid w:val="00285B2A"/>
    <w:rPr>
      <w:rFonts w:ascii="Lucida Grande" w:hAnsi="Lucida Grande"/>
      <w:sz w:val="18"/>
      <w:szCs w:val="18"/>
    </w:rPr>
  </w:style>
  <w:style w:type="paragraph" w:styleId="ListParagraph">
    <w:name w:val="List Paragraph"/>
    <w:basedOn w:val="Normal"/>
    <w:uiPriority w:val="34"/>
    <w:qFormat/>
    <w:rsid w:val="000C1080"/>
    <w:pPr>
      <w:ind w:left="720"/>
      <w:contextualSpacing/>
    </w:pPr>
  </w:style>
  <w:style w:type="character" w:styleId="CommentReference">
    <w:name w:val="annotation reference"/>
    <w:basedOn w:val="DefaultParagraphFont"/>
    <w:uiPriority w:val="99"/>
    <w:semiHidden/>
    <w:unhideWhenUsed/>
    <w:rsid w:val="00FE61B4"/>
    <w:rPr>
      <w:sz w:val="16"/>
      <w:szCs w:val="16"/>
    </w:rPr>
  </w:style>
  <w:style w:type="paragraph" w:styleId="CommentText">
    <w:name w:val="annotation text"/>
    <w:basedOn w:val="Normal"/>
    <w:link w:val="CommentTextChar"/>
    <w:uiPriority w:val="99"/>
    <w:unhideWhenUsed/>
    <w:rsid w:val="00FE61B4"/>
    <w:pPr>
      <w:spacing w:line="240" w:lineRule="auto"/>
    </w:pPr>
    <w:rPr>
      <w:sz w:val="20"/>
      <w:szCs w:val="20"/>
    </w:rPr>
  </w:style>
  <w:style w:type="character" w:customStyle="1" w:styleId="CommentTextChar">
    <w:name w:val="Comment Text Char"/>
    <w:basedOn w:val="DefaultParagraphFont"/>
    <w:link w:val="CommentText"/>
    <w:uiPriority w:val="99"/>
    <w:rsid w:val="00FE61B4"/>
    <w:rPr>
      <w:sz w:val="20"/>
      <w:szCs w:val="20"/>
    </w:rPr>
  </w:style>
  <w:style w:type="paragraph" w:styleId="CommentSubject">
    <w:name w:val="annotation subject"/>
    <w:basedOn w:val="CommentText"/>
    <w:next w:val="CommentText"/>
    <w:link w:val="CommentSubjectChar"/>
    <w:uiPriority w:val="99"/>
    <w:semiHidden/>
    <w:unhideWhenUsed/>
    <w:rsid w:val="00FE61B4"/>
    <w:rPr>
      <w:b/>
      <w:bCs/>
    </w:rPr>
  </w:style>
  <w:style w:type="character" w:customStyle="1" w:styleId="CommentSubjectChar">
    <w:name w:val="Comment Subject Char"/>
    <w:basedOn w:val="CommentTextChar"/>
    <w:link w:val="CommentSubject"/>
    <w:uiPriority w:val="99"/>
    <w:semiHidden/>
    <w:rsid w:val="00FE61B4"/>
    <w:rPr>
      <w:b/>
      <w:bCs/>
      <w:sz w:val="20"/>
      <w:szCs w:val="20"/>
    </w:rPr>
  </w:style>
  <w:style w:type="character" w:customStyle="1" w:styleId="BalloonTextChar1">
    <w:name w:val="Balloon Text Char1"/>
    <w:basedOn w:val="DefaultParagraphFont"/>
    <w:link w:val="BalloonText"/>
    <w:uiPriority w:val="99"/>
    <w:semiHidden/>
    <w:rsid w:val="00FE61B4"/>
    <w:rPr>
      <w:rFonts w:ascii="Tahoma" w:hAnsi="Tahoma" w:cs="Tahoma"/>
      <w:sz w:val="16"/>
      <w:szCs w:val="16"/>
    </w:rPr>
  </w:style>
  <w:style w:type="paragraph" w:styleId="Header">
    <w:name w:val="header"/>
    <w:basedOn w:val="Normal"/>
    <w:link w:val="HeaderChar"/>
    <w:uiPriority w:val="99"/>
    <w:unhideWhenUsed/>
    <w:rsid w:val="00161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9C5"/>
  </w:style>
  <w:style w:type="paragraph" w:styleId="Footer">
    <w:name w:val="footer"/>
    <w:basedOn w:val="Normal"/>
    <w:link w:val="FooterChar"/>
    <w:uiPriority w:val="99"/>
    <w:unhideWhenUsed/>
    <w:rsid w:val="00161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9C5"/>
  </w:style>
  <w:style w:type="table" w:styleId="TableGrid">
    <w:name w:val="Table Grid"/>
    <w:basedOn w:val="TableNormal"/>
    <w:uiPriority w:val="59"/>
    <w:rsid w:val="00533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7C8A"/>
    <w:pPr>
      <w:autoSpaceDE w:val="0"/>
      <w:autoSpaceDN w:val="0"/>
      <w:adjustRightInd w:val="0"/>
      <w:spacing w:after="0" w:line="240" w:lineRule="auto"/>
    </w:pPr>
    <w:rPr>
      <w:rFonts w:ascii="Fira Sans OT" w:hAnsi="Fira Sans OT" w:cs="Fira Sans OT"/>
      <w:color w:val="000000"/>
      <w:sz w:val="24"/>
      <w:szCs w:val="24"/>
    </w:rPr>
  </w:style>
  <w:style w:type="paragraph" w:customStyle="1" w:styleId="Pa26">
    <w:name w:val="Pa26"/>
    <w:basedOn w:val="Default"/>
    <w:next w:val="Default"/>
    <w:uiPriority w:val="99"/>
    <w:rsid w:val="00607C8A"/>
    <w:pPr>
      <w:spacing w:line="201" w:lineRule="atLeast"/>
    </w:pPr>
    <w:rPr>
      <w:rFonts w:cstheme="minorBidi"/>
      <w:color w:val="auto"/>
    </w:rPr>
  </w:style>
  <w:style w:type="character" w:customStyle="1" w:styleId="aqj">
    <w:name w:val="aqj"/>
    <w:basedOn w:val="DefaultParagraphFont"/>
    <w:rsid w:val="00007993"/>
  </w:style>
  <w:style w:type="character" w:styleId="Hyperlink">
    <w:name w:val="Hyperlink"/>
    <w:basedOn w:val="DefaultParagraphFont"/>
    <w:uiPriority w:val="99"/>
    <w:unhideWhenUsed/>
    <w:rsid w:val="00A730E1"/>
    <w:rPr>
      <w:color w:val="9D2441"/>
      <w:u w:val="single"/>
    </w:rPr>
  </w:style>
  <w:style w:type="paragraph" w:styleId="FootnoteText">
    <w:name w:val="footnote text"/>
    <w:basedOn w:val="Normal"/>
    <w:link w:val="FootnoteTextChar"/>
    <w:uiPriority w:val="99"/>
    <w:unhideWhenUsed/>
    <w:rsid w:val="00354128"/>
    <w:pPr>
      <w:spacing w:after="0" w:line="240" w:lineRule="auto"/>
    </w:pPr>
    <w:rPr>
      <w:sz w:val="24"/>
      <w:szCs w:val="24"/>
    </w:rPr>
  </w:style>
  <w:style w:type="character" w:customStyle="1" w:styleId="FootnoteTextChar">
    <w:name w:val="Footnote Text Char"/>
    <w:basedOn w:val="DefaultParagraphFont"/>
    <w:link w:val="FootnoteText"/>
    <w:uiPriority w:val="99"/>
    <w:rsid w:val="00354128"/>
    <w:rPr>
      <w:sz w:val="24"/>
      <w:szCs w:val="24"/>
    </w:rPr>
  </w:style>
  <w:style w:type="character" w:styleId="FootnoteReference">
    <w:name w:val="footnote reference"/>
    <w:basedOn w:val="DefaultParagraphFont"/>
    <w:uiPriority w:val="99"/>
    <w:unhideWhenUsed/>
    <w:rsid w:val="00354128"/>
    <w:rPr>
      <w:vertAlign w:val="superscript"/>
    </w:rPr>
  </w:style>
  <w:style w:type="character" w:styleId="FollowedHyperlink">
    <w:name w:val="FollowedHyperlink"/>
    <w:basedOn w:val="DefaultParagraphFont"/>
    <w:uiPriority w:val="99"/>
    <w:semiHidden/>
    <w:unhideWhenUsed/>
    <w:rsid w:val="005D3372"/>
    <w:rPr>
      <w:color w:val="800080" w:themeColor="followedHyperlink"/>
      <w:u w:val="single"/>
    </w:rPr>
  </w:style>
  <w:style w:type="character" w:customStyle="1" w:styleId="Heading1Char">
    <w:name w:val="Heading 1 Char"/>
    <w:basedOn w:val="DefaultParagraphFont"/>
    <w:link w:val="Heading1"/>
    <w:uiPriority w:val="9"/>
    <w:rsid w:val="00912683"/>
    <w:rPr>
      <w:rFonts w:asciiTheme="majorHAnsi" w:eastAsiaTheme="majorEastAsia" w:hAnsiTheme="majorHAnsi" w:cstheme="majorBidi"/>
      <w:b/>
      <w:bCs/>
      <w:color w:val="9D2441"/>
      <w:sz w:val="32"/>
      <w:szCs w:val="32"/>
    </w:rPr>
  </w:style>
  <w:style w:type="character" w:customStyle="1" w:styleId="Heading2Char">
    <w:name w:val="Heading 2 Char"/>
    <w:basedOn w:val="DefaultParagraphFont"/>
    <w:link w:val="Heading2"/>
    <w:uiPriority w:val="9"/>
    <w:rsid w:val="00912683"/>
    <w:rPr>
      <w:rFonts w:asciiTheme="majorHAnsi" w:eastAsiaTheme="majorEastAsia" w:hAnsiTheme="majorHAnsi" w:cstheme="majorBidi"/>
      <w:b/>
      <w:bCs/>
      <w:color w:val="9D2441"/>
      <w:sz w:val="26"/>
      <w:szCs w:val="26"/>
    </w:rPr>
  </w:style>
  <w:style w:type="character" w:customStyle="1" w:styleId="Heading3Char">
    <w:name w:val="Heading 3 Char"/>
    <w:basedOn w:val="DefaultParagraphFont"/>
    <w:link w:val="Heading3"/>
    <w:uiPriority w:val="9"/>
    <w:rsid w:val="00A730E1"/>
    <w:rPr>
      <w:rFonts w:asciiTheme="majorHAnsi" w:eastAsiaTheme="majorEastAsia" w:hAnsiTheme="majorHAnsi" w:cstheme="majorBidi"/>
      <w:b/>
      <w:bCs/>
      <w:color w:val="9D2441"/>
    </w:rPr>
  </w:style>
  <w:style w:type="paragraph" w:styleId="TOCHeading">
    <w:name w:val="TOC Heading"/>
    <w:basedOn w:val="Heading1"/>
    <w:next w:val="Normal"/>
    <w:uiPriority w:val="39"/>
    <w:unhideWhenUsed/>
    <w:qFormat/>
    <w:rsid w:val="00A730E1"/>
    <w:pPr>
      <w:outlineLvl w:val="9"/>
    </w:pPr>
    <w:rPr>
      <w:sz w:val="28"/>
      <w:szCs w:val="28"/>
    </w:rPr>
  </w:style>
  <w:style w:type="paragraph" w:styleId="TOC1">
    <w:name w:val="toc 1"/>
    <w:basedOn w:val="Normal"/>
    <w:next w:val="Normal"/>
    <w:autoRedefine/>
    <w:uiPriority w:val="39"/>
    <w:unhideWhenUsed/>
    <w:rsid w:val="00B90ABF"/>
    <w:pPr>
      <w:spacing w:before="120" w:after="0"/>
    </w:pPr>
    <w:rPr>
      <w:b/>
      <w:sz w:val="24"/>
      <w:szCs w:val="24"/>
    </w:rPr>
  </w:style>
  <w:style w:type="paragraph" w:styleId="TOC2">
    <w:name w:val="toc 2"/>
    <w:basedOn w:val="Normal"/>
    <w:next w:val="Normal"/>
    <w:autoRedefine/>
    <w:uiPriority w:val="39"/>
    <w:unhideWhenUsed/>
    <w:rsid w:val="00B90ABF"/>
    <w:pPr>
      <w:spacing w:after="0"/>
      <w:ind w:left="220"/>
    </w:pPr>
    <w:rPr>
      <w:b/>
    </w:rPr>
  </w:style>
  <w:style w:type="paragraph" w:styleId="TOC3">
    <w:name w:val="toc 3"/>
    <w:basedOn w:val="Normal"/>
    <w:next w:val="Normal"/>
    <w:autoRedefine/>
    <w:uiPriority w:val="39"/>
    <w:unhideWhenUsed/>
    <w:rsid w:val="00B90ABF"/>
    <w:pPr>
      <w:spacing w:after="0"/>
      <w:ind w:left="440"/>
    </w:pPr>
  </w:style>
  <w:style w:type="paragraph" w:styleId="TOC4">
    <w:name w:val="toc 4"/>
    <w:basedOn w:val="Normal"/>
    <w:next w:val="Normal"/>
    <w:autoRedefine/>
    <w:uiPriority w:val="39"/>
    <w:semiHidden/>
    <w:unhideWhenUsed/>
    <w:rsid w:val="00B90ABF"/>
    <w:pPr>
      <w:spacing w:after="0"/>
      <w:ind w:left="660"/>
    </w:pPr>
    <w:rPr>
      <w:sz w:val="20"/>
      <w:szCs w:val="20"/>
    </w:rPr>
  </w:style>
  <w:style w:type="paragraph" w:styleId="TOC5">
    <w:name w:val="toc 5"/>
    <w:basedOn w:val="Normal"/>
    <w:next w:val="Normal"/>
    <w:autoRedefine/>
    <w:uiPriority w:val="39"/>
    <w:semiHidden/>
    <w:unhideWhenUsed/>
    <w:rsid w:val="00B90ABF"/>
    <w:pPr>
      <w:spacing w:after="0"/>
      <w:ind w:left="880"/>
    </w:pPr>
    <w:rPr>
      <w:sz w:val="20"/>
      <w:szCs w:val="20"/>
    </w:rPr>
  </w:style>
  <w:style w:type="paragraph" w:styleId="TOC6">
    <w:name w:val="toc 6"/>
    <w:basedOn w:val="Normal"/>
    <w:next w:val="Normal"/>
    <w:autoRedefine/>
    <w:uiPriority w:val="39"/>
    <w:semiHidden/>
    <w:unhideWhenUsed/>
    <w:rsid w:val="00B90ABF"/>
    <w:pPr>
      <w:spacing w:after="0"/>
      <w:ind w:left="1100"/>
    </w:pPr>
    <w:rPr>
      <w:sz w:val="20"/>
      <w:szCs w:val="20"/>
    </w:rPr>
  </w:style>
  <w:style w:type="paragraph" w:styleId="TOC7">
    <w:name w:val="toc 7"/>
    <w:basedOn w:val="Normal"/>
    <w:next w:val="Normal"/>
    <w:autoRedefine/>
    <w:uiPriority w:val="39"/>
    <w:semiHidden/>
    <w:unhideWhenUsed/>
    <w:rsid w:val="00B90ABF"/>
    <w:pPr>
      <w:spacing w:after="0"/>
      <w:ind w:left="1320"/>
    </w:pPr>
    <w:rPr>
      <w:sz w:val="20"/>
      <w:szCs w:val="20"/>
    </w:rPr>
  </w:style>
  <w:style w:type="paragraph" w:styleId="TOC8">
    <w:name w:val="toc 8"/>
    <w:basedOn w:val="Normal"/>
    <w:next w:val="Normal"/>
    <w:autoRedefine/>
    <w:uiPriority w:val="39"/>
    <w:semiHidden/>
    <w:unhideWhenUsed/>
    <w:rsid w:val="00B90ABF"/>
    <w:pPr>
      <w:spacing w:after="0"/>
      <w:ind w:left="1540"/>
    </w:pPr>
    <w:rPr>
      <w:sz w:val="20"/>
      <w:szCs w:val="20"/>
    </w:rPr>
  </w:style>
  <w:style w:type="paragraph" w:styleId="TOC9">
    <w:name w:val="toc 9"/>
    <w:basedOn w:val="Normal"/>
    <w:next w:val="Normal"/>
    <w:autoRedefine/>
    <w:uiPriority w:val="39"/>
    <w:semiHidden/>
    <w:unhideWhenUsed/>
    <w:rsid w:val="00B90ABF"/>
    <w:pPr>
      <w:spacing w:after="0"/>
      <w:ind w:left="1760"/>
    </w:pPr>
    <w:rPr>
      <w:sz w:val="20"/>
      <w:szCs w:val="20"/>
    </w:rPr>
  </w:style>
  <w:style w:type="character" w:styleId="PageNumber">
    <w:name w:val="page number"/>
    <w:basedOn w:val="DefaultParagraphFont"/>
    <w:uiPriority w:val="99"/>
    <w:semiHidden/>
    <w:unhideWhenUsed/>
    <w:rsid w:val="00BF12FB"/>
  </w:style>
  <w:style w:type="paragraph" w:styleId="Revision">
    <w:name w:val="Revision"/>
    <w:hidden/>
    <w:uiPriority w:val="99"/>
    <w:semiHidden/>
    <w:rsid w:val="00242244"/>
    <w:pPr>
      <w:spacing w:after="0" w:line="240" w:lineRule="auto"/>
    </w:pPr>
  </w:style>
  <w:style w:type="character" w:customStyle="1" w:styleId="Heading4Char">
    <w:name w:val="Heading 4 Char"/>
    <w:basedOn w:val="DefaultParagraphFont"/>
    <w:link w:val="Heading4"/>
    <w:uiPriority w:val="9"/>
    <w:semiHidden/>
    <w:rsid w:val="00A730E1"/>
    <w:rPr>
      <w:rFonts w:asciiTheme="majorHAnsi" w:eastAsiaTheme="majorEastAsia" w:hAnsiTheme="majorHAnsi" w:cstheme="majorBidi"/>
      <w:i/>
      <w:iCs/>
      <w:color w:val="9D244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50661">
      <w:bodyDiv w:val="1"/>
      <w:marLeft w:val="0"/>
      <w:marRight w:val="0"/>
      <w:marTop w:val="0"/>
      <w:marBottom w:val="0"/>
      <w:divBdr>
        <w:top w:val="none" w:sz="0" w:space="0" w:color="auto"/>
        <w:left w:val="none" w:sz="0" w:space="0" w:color="auto"/>
        <w:bottom w:val="none" w:sz="0" w:space="0" w:color="auto"/>
        <w:right w:val="none" w:sz="0" w:space="0" w:color="auto"/>
      </w:divBdr>
    </w:div>
    <w:div w:id="627902016">
      <w:bodyDiv w:val="1"/>
      <w:marLeft w:val="0"/>
      <w:marRight w:val="0"/>
      <w:marTop w:val="0"/>
      <w:marBottom w:val="0"/>
      <w:divBdr>
        <w:top w:val="none" w:sz="0" w:space="0" w:color="auto"/>
        <w:left w:val="none" w:sz="0" w:space="0" w:color="auto"/>
        <w:bottom w:val="none" w:sz="0" w:space="0" w:color="auto"/>
        <w:right w:val="none" w:sz="0" w:space="0" w:color="auto"/>
      </w:divBdr>
      <w:divsChild>
        <w:div w:id="572005516">
          <w:marLeft w:val="0"/>
          <w:marRight w:val="0"/>
          <w:marTop w:val="0"/>
          <w:marBottom w:val="0"/>
          <w:divBdr>
            <w:top w:val="none" w:sz="0" w:space="0" w:color="auto"/>
            <w:left w:val="none" w:sz="0" w:space="0" w:color="auto"/>
            <w:bottom w:val="none" w:sz="0" w:space="0" w:color="auto"/>
            <w:right w:val="none" w:sz="0" w:space="0" w:color="auto"/>
          </w:divBdr>
          <w:divsChild>
            <w:div w:id="1097822333">
              <w:marLeft w:val="0"/>
              <w:marRight w:val="0"/>
              <w:marTop w:val="0"/>
              <w:marBottom w:val="0"/>
              <w:divBdr>
                <w:top w:val="none" w:sz="0" w:space="0" w:color="auto"/>
                <w:left w:val="none" w:sz="0" w:space="0" w:color="auto"/>
                <w:bottom w:val="none" w:sz="0" w:space="0" w:color="auto"/>
                <w:right w:val="none" w:sz="0" w:space="0" w:color="auto"/>
              </w:divBdr>
              <w:divsChild>
                <w:div w:id="848909249">
                  <w:marLeft w:val="0"/>
                  <w:marRight w:val="0"/>
                  <w:marTop w:val="0"/>
                  <w:marBottom w:val="0"/>
                  <w:divBdr>
                    <w:top w:val="none" w:sz="0" w:space="0" w:color="auto"/>
                    <w:left w:val="none" w:sz="0" w:space="0" w:color="auto"/>
                    <w:bottom w:val="none" w:sz="0" w:space="0" w:color="auto"/>
                    <w:right w:val="none" w:sz="0" w:space="0" w:color="auto"/>
                  </w:divBdr>
                  <w:divsChild>
                    <w:div w:id="10390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laura@theopportunityinstitute.org" TargetMode="External"/><Relationship Id="rId20" Type="http://schemas.openxmlformats.org/officeDocument/2006/relationships/footer" Target="footer5.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laura@theopportunityinstitute.org" TargetMode="External"/><Relationship Id="rId11" Type="http://schemas.openxmlformats.org/officeDocument/2006/relationships/hyperlink" Target="mailto:Laura@theopportunityinstitute.org"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ura@theopportunityinstitute.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CCEF9-473C-FD40-8351-39A5222B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8001</Words>
  <Characters>45609</Characters>
  <Application>Microsoft Macintosh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Taylor</dc:creator>
  <cp:lastModifiedBy>William Kilby</cp:lastModifiedBy>
  <cp:revision>2</cp:revision>
  <cp:lastPrinted>2015-11-06T19:50:00Z</cp:lastPrinted>
  <dcterms:created xsi:type="dcterms:W3CDTF">2017-01-27T23:53:00Z</dcterms:created>
  <dcterms:modified xsi:type="dcterms:W3CDTF">2017-01-27T23:53:00Z</dcterms:modified>
</cp:coreProperties>
</file>